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Responsible AI Design</w:t>
      </w:r>
    </w:p>
    <w:p>
      <w:pPr>
        <w:spacing w:after="120"/>
        <w:jc w:val="center"/>
      </w:pPr>
      <w:r>
        <w:rPr>
          <w:b/>
          <w:i w:val="0"/>
          <w:color w:val="4C1D95"/>
          <w:sz w:val="30"/>
        </w:rPr>
        <w:t>Primary 6 · Second Term · Week 8</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6, Second Term, Week 8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6</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Second Term</w:t>
            </w:r>
          </w:p>
        </w:tc>
      </w:tr>
      <w:tr>
        <w:tc>
          <w:tcPr>
            <w:tcW w:type="dxa" w:w="2551"/>
          </w:tcPr>
          <w:p>
            <w:pPr>
              <w:spacing w:after="40"/>
            </w:pPr>
            <w:r/>
            <w:r>
              <w:rPr>
                <w:sz w:val="19"/>
              </w:rPr>
              <w:t>Week</w:t>
            </w:r>
          </w:p>
        </w:tc>
        <w:tc>
          <w:tcPr>
            <w:tcW w:type="dxa" w:w="6803"/>
          </w:tcPr>
          <w:p>
            <w:pPr>
              <w:spacing w:after="40"/>
            </w:pPr>
            <w:r/>
            <w:r>
              <w:rPr>
                <w:sz w:val="19"/>
              </w:rPr>
              <w:t>Week 8 of Second Term</w:t>
            </w:r>
          </w:p>
        </w:tc>
      </w:tr>
      <w:tr>
        <w:tc>
          <w:tcPr>
            <w:tcW w:type="dxa" w:w="2551"/>
          </w:tcPr>
          <w:p>
            <w:pPr>
              <w:spacing w:after="40"/>
            </w:pPr>
            <w:r/>
            <w:r>
              <w:rPr>
                <w:sz w:val="19"/>
              </w:rPr>
              <w:t>Topic</w:t>
            </w:r>
          </w:p>
        </w:tc>
        <w:tc>
          <w:tcPr>
            <w:tcW w:type="dxa" w:w="6803"/>
          </w:tcPr>
          <w:p>
            <w:pPr>
              <w:spacing w:after="40"/>
            </w:pPr>
            <w:r/>
            <w:r>
              <w:rPr>
                <w:sz w:val="19"/>
              </w:rPr>
              <w:t>Responsible AI Design</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'Responsible AI Design'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Privacy; fairness; accessibility</w:t>
            </w:r>
          </w:p>
        </w:tc>
      </w:tr>
      <w:tr>
        <w:tc>
          <w:tcPr>
            <w:tcW w:type="dxa" w:w="1701"/>
          </w:tcPr>
          <w:p>
            <w:pPr>
              <w:spacing w:after="40"/>
            </w:pPr>
            <w:r/>
            <w:r>
              <w:rPr>
                <w:sz w:val="19"/>
              </w:rPr>
              <w:t>Period 2</w:t>
            </w:r>
          </w:p>
        </w:tc>
        <w:tc>
          <w:tcPr>
            <w:tcW w:type="dxa" w:w="7654"/>
          </w:tcPr>
          <w:p>
            <w:pPr>
              <w:spacing w:after="40"/>
            </w:pPr>
            <w:r/>
            <w:r>
              <w:rPr>
                <w:sz w:val="19"/>
              </w:rPr>
              <w:t>Complete an ethical design checklist</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“Responsible AI Design” to learners’ home, school or community experiences. Ask 2–3 short questions and accept examples in familiar Nigerian contexts.</w:t>
      </w:r>
    </w:p>
    <w:p>
      <w:pPr>
        <w:pStyle w:val="ListBullet"/>
      </w:pPr>
      <w:r>
        <w:t>Explain and model the first part of the scheme content: Period 1: Privacy; fairness; accessibility Period 2: Complete an ethical design checklist.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“Responsible AI Design”?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“Responsible AI Design”.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6, Second Term, Week 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