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Capstone Build</w:t>
      </w:r>
    </w:p>
    <w:p>
      <w:pPr>
        <w:spacing w:after="120"/>
        <w:jc w:val="center"/>
      </w:pPr>
      <w:r>
        <w:rPr>
          <w:b/>
          <w:i w:val="0"/>
          <w:color w:val="4C1D95"/>
          <w:sz w:val="30"/>
        </w:rPr>
        <w:t>Primary 6 · Second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9 of Second Term</w:t>
            </w:r>
          </w:p>
        </w:tc>
      </w:tr>
      <w:tr>
        <w:tc>
          <w:tcPr>
            <w:tcW w:type="dxa" w:w="2551"/>
          </w:tcPr>
          <w:p>
            <w:pPr>
              <w:spacing w:after="40"/>
            </w:pPr>
            <w:r/>
            <w:r>
              <w:rPr>
                <w:sz w:val="19"/>
              </w:rPr>
              <w:t>Topic</w:t>
            </w:r>
          </w:p>
        </w:tc>
        <w:tc>
          <w:tcPr>
            <w:tcW w:type="dxa" w:w="6803"/>
          </w:tcPr>
          <w:p>
            <w:pPr>
              <w:spacing w:after="40"/>
            </w:pPr>
            <w:r/>
            <w:r>
              <w:rPr>
                <w:sz w:val="19"/>
              </w:rPr>
              <w:t>Capstone Build</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'Capstone Build'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Prototype; teamwork; documentation</w:t>
            </w:r>
          </w:p>
        </w:tc>
      </w:tr>
      <w:tr>
        <w:tc>
          <w:tcPr>
            <w:tcW w:type="dxa" w:w="1701"/>
          </w:tcPr>
          <w:p>
            <w:pPr>
              <w:spacing w:after="40"/>
            </w:pPr>
            <w:r/>
            <w:r>
              <w:rPr>
                <w:sz w:val="19"/>
              </w:rPr>
              <w:t>Period 2</w:t>
            </w:r>
          </w:p>
        </w:tc>
        <w:tc>
          <w:tcPr>
            <w:tcW w:type="dxa" w:w="7654"/>
          </w:tcPr>
          <w:p>
            <w:pPr>
              <w:spacing w:after="40"/>
            </w:pPr>
            <w:r/>
            <w:r>
              <w:rPr>
                <w:sz w:val="19"/>
              </w:rPr>
              <w:t>Build and test project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“Capstone Build” to learners’ home, school or community experiences. Ask 2–3 short questions and accept examples in familiar Nigerian contexts.</w:t>
      </w:r>
    </w:p>
    <w:p>
      <w:pPr>
        <w:pStyle w:val="ListBullet"/>
      </w:pPr>
      <w:r>
        <w:t>Explain and model the first part of the scheme content: Period 1: Prototype; teamwork; documentation Period 2: Build and test project.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“Capstone Build”?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“Capstone Build”.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