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Transition Showcase</w:t>
      </w:r>
    </w:p>
    <w:p>
      <w:pPr>
        <w:spacing w:after="120"/>
        <w:jc w:val="center"/>
      </w:pPr>
      <w:r>
        <w:rPr>
          <w:b/>
          <w:i w:val="0"/>
          <w:color w:val="4C1D95"/>
          <w:sz w:val="30"/>
        </w:rPr>
        <w:t>Primary 6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Transition Showcase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'Transition Showcase'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Presentation; next-stage goals</w:t>
            </w:r>
          </w:p>
        </w:tc>
      </w:tr>
      <w:tr>
        <w:tc>
          <w:tcPr>
            <w:tcW w:type="dxa" w:w="1701"/>
          </w:tcPr>
          <w:p>
            <w:pPr>
              <w:spacing w:after="40"/>
            </w:pPr>
            <w:r/>
            <w:r>
              <w:rPr>
                <w:sz w:val="19"/>
              </w:rPr>
              <w:t>Period 2</w:t>
            </w:r>
          </w:p>
        </w:tc>
        <w:tc>
          <w:tcPr>
            <w:tcW w:type="dxa" w:w="7654"/>
          </w:tcPr>
          <w:p>
            <w:pPr>
              <w:spacing w:after="40"/>
            </w:pPr>
            <w:r/>
            <w:r>
              <w:rPr>
                <w:sz w:val="19"/>
              </w:rPr>
              <w:t>Showcase work and reflect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“Transition Showcase” to learners’ home, school or community experiences. Ask 2–3 short questions and accept examples in familiar Nigerian contexts.</w:t>
      </w:r>
    </w:p>
    <w:p>
      <w:pPr>
        <w:pStyle w:val="ListBullet"/>
      </w:pPr>
      <w:r>
        <w:t>Explain and model the first part of the scheme content: Period 1: Presentation; next-stage goals Period 2: Showcase work and reflect.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“Transition Showcase”?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“Transition Showcase”.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