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Year Review and Transition</w:t>
      </w:r>
    </w:p>
    <w:p>
      <w:pPr>
        <w:spacing w:after="120"/>
        <w:jc w:val="center"/>
      </w:pPr>
      <w:r>
        <w:rPr>
          <w:b/>
          <w:i w:val="0"/>
          <w:color w:val="4C1D95"/>
          <w:sz w:val="30"/>
        </w:rPr>
        <w:t>Primary 6 · Third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 of Third Term</w:t>
            </w:r>
          </w:p>
        </w:tc>
      </w:tr>
      <w:tr>
        <w:tc>
          <w:tcPr>
            <w:tcW w:type="dxa" w:w="2551"/>
          </w:tcPr>
          <w:p>
            <w:pPr>
              <w:spacing w:after="40"/>
            </w:pPr>
            <w:r/>
            <w:r>
              <w:rPr>
                <w:sz w:val="19"/>
              </w:rPr>
              <w:t>Topic</w:t>
            </w:r>
          </w:p>
        </w:tc>
        <w:tc>
          <w:tcPr>
            <w:tcW w:type="dxa" w:w="6803"/>
          </w:tcPr>
          <w:p>
            <w:pPr>
              <w:spacing w:after="40"/>
            </w:pPr>
            <w:r/>
            <w:r>
              <w:rPr>
                <w:sz w:val="19"/>
              </w:rPr>
              <w:t>Year Review and Transition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'Year Review and Transition'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Key digital, coding and AI ideas</w:t>
            </w:r>
          </w:p>
        </w:tc>
      </w:tr>
      <w:tr>
        <w:tc>
          <w:tcPr>
            <w:tcW w:type="dxa" w:w="1701"/>
          </w:tcPr>
          <w:p>
            <w:pPr>
              <w:spacing w:after="40"/>
            </w:pPr>
            <w:r/>
            <w:r>
              <w:rPr>
                <w:sz w:val="19"/>
              </w:rPr>
              <w:t>Period 2</w:t>
            </w:r>
          </w:p>
        </w:tc>
        <w:tc>
          <w:tcPr>
            <w:tcW w:type="dxa" w:w="7654"/>
          </w:tcPr>
          <w:p>
            <w:pPr>
              <w:spacing w:after="40"/>
            </w:pPr>
            <w:r/>
            <w:r>
              <w:rPr>
                <w:sz w:val="19"/>
              </w:rPr>
              <w:t>Readiness quiz</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“Year Review and Transition” to learners’ home, school or community experiences. Ask 2–3 short questions and accept examples in familiar Nigerian contexts.</w:t>
      </w:r>
    </w:p>
    <w:p>
      <w:pPr>
        <w:pStyle w:val="ListBullet"/>
      </w:pPr>
      <w:r>
        <w:t>Explain and model the first part of the scheme content: Period 1: Key digital, coding and AI ideas Period 2: Readiness quiz.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“Year Review and Transition”?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“Year Review and Transition”.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