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Computational Thinking</w:t>
      </w:r>
    </w:p>
    <w:p>
      <w:pPr>
        <w:spacing w:after="120"/>
        <w:jc w:val="center"/>
      </w:pPr>
      <w:r>
        <w:rPr>
          <w:b/>
          <w:i w:val="0"/>
          <w:color w:val="4C1D95"/>
          <w:sz w:val="30"/>
        </w:rPr>
        <w:t>Primary 6 · Third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2 of Third Term</w:t>
            </w:r>
          </w:p>
        </w:tc>
      </w:tr>
      <w:tr>
        <w:tc>
          <w:tcPr>
            <w:tcW w:type="dxa" w:w="2551"/>
          </w:tcPr>
          <w:p>
            <w:pPr>
              <w:spacing w:after="40"/>
            </w:pPr>
            <w:r/>
            <w:r>
              <w:rPr>
                <w:sz w:val="19"/>
              </w:rPr>
              <w:t>Topic</w:t>
            </w:r>
          </w:p>
        </w:tc>
        <w:tc>
          <w:tcPr>
            <w:tcW w:type="dxa" w:w="6803"/>
          </w:tcPr>
          <w:p>
            <w:pPr>
              <w:spacing w:after="40"/>
            </w:pPr>
            <w:r/>
            <w:r>
              <w:rPr>
                <w:sz w:val="19"/>
              </w:rPr>
              <w:t>Computational Thinking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'Computational Thinking'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Decomposition; patterns; algorithms</w:t>
            </w:r>
          </w:p>
        </w:tc>
      </w:tr>
      <w:tr>
        <w:tc>
          <w:tcPr>
            <w:tcW w:type="dxa" w:w="1701"/>
          </w:tcPr>
          <w:p>
            <w:pPr>
              <w:spacing w:after="40"/>
            </w:pPr>
            <w:r/>
            <w:r>
              <w:rPr>
                <w:sz w:val="19"/>
              </w:rPr>
              <w:t>Period 2</w:t>
            </w:r>
          </w:p>
        </w:tc>
        <w:tc>
          <w:tcPr>
            <w:tcW w:type="dxa" w:w="7654"/>
          </w:tcPr>
          <w:p>
            <w:pPr>
              <w:spacing w:after="40"/>
            </w:pPr>
            <w:r/>
            <w:r>
              <w:rPr>
                <w:sz w:val="19"/>
              </w:rPr>
              <w:t>Break a problem into steps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“Computational Thinking” to learners’ home, school or community experiences. Ask 2–3 short questions and accept examples in familiar Nigerian contexts.</w:t>
      </w:r>
    </w:p>
    <w:p>
      <w:pPr>
        <w:pStyle w:val="ListBullet"/>
      </w:pPr>
      <w:r>
        <w:t>Explain and model the first part of the scheme content: Period 1: Decomposition; patterns; algorithms Period 2: Break a problem into steps.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“Computational Thinking”?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“Computational Thinking”.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