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and Future Learning</w:t>
      </w:r>
    </w:p>
    <w:p>
      <w:pPr>
        <w:spacing w:after="120"/>
        <w:jc w:val="center"/>
      </w:pPr>
      <w:r>
        <w:rPr>
          <w:b/>
          <w:i w:val="0"/>
          <w:color w:val="4C1D95"/>
          <w:sz w:val="30"/>
        </w:rPr>
        <w:t>Primary 6 · Third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4 of Third Term</w:t>
            </w:r>
          </w:p>
        </w:tc>
      </w:tr>
      <w:tr>
        <w:tc>
          <w:tcPr>
            <w:tcW w:type="dxa" w:w="2551"/>
          </w:tcPr>
          <w:p>
            <w:pPr>
              <w:spacing w:after="40"/>
            </w:pPr>
            <w:r/>
            <w:r>
              <w:rPr>
                <w:sz w:val="19"/>
              </w:rPr>
              <w:t>Topic</w:t>
            </w:r>
          </w:p>
        </w:tc>
        <w:tc>
          <w:tcPr>
            <w:tcW w:type="dxa" w:w="6803"/>
          </w:tcPr>
          <w:p>
            <w:pPr>
              <w:spacing w:after="40"/>
            </w:pPr>
            <w:r/>
            <w:r>
              <w:rPr>
                <w:sz w:val="19"/>
              </w:rPr>
              <w:t>AI and Future Learning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and Future Learning'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AI uses; limits; human judgement</w:t>
            </w:r>
          </w:p>
        </w:tc>
      </w:tr>
      <w:tr>
        <w:tc>
          <w:tcPr>
            <w:tcW w:type="dxa" w:w="1701"/>
          </w:tcPr>
          <w:p>
            <w:pPr>
              <w:spacing w:after="40"/>
            </w:pPr>
            <w:r/>
            <w:r>
              <w:rPr>
                <w:sz w:val="19"/>
              </w:rPr>
              <w:t>Period 2</w:t>
            </w:r>
          </w:p>
        </w:tc>
        <w:tc>
          <w:tcPr>
            <w:tcW w:type="dxa" w:w="7654"/>
          </w:tcPr>
          <w:p>
            <w:pPr>
              <w:spacing w:after="40"/>
            </w:pPr>
            <w:r/>
            <w:r>
              <w:rPr>
                <w:sz w:val="19"/>
              </w:rPr>
              <w:t>Evaluate a tool for a learning task</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and Future Learning” to learners’ home, school or community experiences. Ask 2–3 short questions and accept examples in familiar Nigerian contexts.</w:t>
      </w:r>
    </w:p>
    <w:p>
      <w:pPr>
        <w:pStyle w:val="ListBullet"/>
      </w:pPr>
      <w:r>
        <w:t>Explain and model the first part of the scheme content: Period 1: AI uses; limits; human judgement Period 2: Evaluate a tool for a learning task.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and Future Learning”?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and Future Learning”.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