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Data Privacy and Security</w:t>
      </w:r>
    </w:p>
    <w:p>
      <w:pPr>
        <w:spacing w:after="120"/>
        <w:jc w:val="center"/>
      </w:pPr>
      <w:r>
        <w:rPr>
          <w:b/>
          <w:i w:val="0"/>
          <w:color w:val="4C1D95"/>
          <w:sz w:val="30"/>
        </w:rPr>
        <w:t>Primary 6 · Third Term · Week 6</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6, Third Term, Week 6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6</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Third Term</w:t>
            </w:r>
          </w:p>
        </w:tc>
      </w:tr>
      <w:tr>
        <w:tc>
          <w:tcPr>
            <w:tcW w:type="dxa" w:w="2551"/>
          </w:tcPr>
          <w:p>
            <w:pPr>
              <w:spacing w:after="40"/>
            </w:pPr>
            <w:r/>
            <w:r>
              <w:rPr>
                <w:sz w:val="19"/>
              </w:rPr>
              <w:t>Week</w:t>
            </w:r>
          </w:p>
        </w:tc>
        <w:tc>
          <w:tcPr>
            <w:tcW w:type="dxa" w:w="6803"/>
          </w:tcPr>
          <w:p>
            <w:pPr>
              <w:spacing w:after="40"/>
            </w:pPr>
            <w:r/>
            <w:r>
              <w:rPr>
                <w:sz w:val="19"/>
              </w:rPr>
              <w:t>Week 6 of Third Term</w:t>
            </w:r>
          </w:p>
        </w:tc>
      </w:tr>
      <w:tr>
        <w:tc>
          <w:tcPr>
            <w:tcW w:type="dxa" w:w="2551"/>
          </w:tcPr>
          <w:p>
            <w:pPr>
              <w:spacing w:after="40"/>
            </w:pPr>
            <w:r/>
            <w:r>
              <w:rPr>
                <w:sz w:val="19"/>
              </w:rPr>
              <w:t>Topic</w:t>
            </w:r>
          </w:p>
        </w:tc>
        <w:tc>
          <w:tcPr>
            <w:tcW w:type="dxa" w:w="6803"/>
          </w:tcPr>
          <w:p>
            <w:pPr>
              <w:spacing w:after="40"/>
            </w:pPr>
            <w:r/>
            <w:r>
              <w:rPr>
                <w:sz w:val="19"/>
              </w:rPr>
              <w:t>Data Privacy and Security</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'Data Privacy and Security'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Passwords; phishing; permission</w:t>
            </w:r>
          </w:p>
        </w:tc>
      </w:tr>
      <w:tr>
        <w:tc>
          <w:tcPr>
            <w:tcW w:type="dxa" w:w="1701"/>
          </w:tcPr>
          <w:p>
            <w:pPr>
              <w:spacing w:after="40"/>
            </w:pPr>
            <w:r/>
            <w:r>
              <w:rPr>
                <w:sz w:val="19"/>
              </w:rPr>
              <w:t>Period 2</w:t>
            </w:r>
          </w:p>
        </w:tc>
        <w:tc>
          <w:tcPr>
            <w:tcW w:type="dxa" w:w="7654"/>
          </w:tcPr>
          <w:p>
            <w:pPr>
              <w:spacing w:after="40"/>
            </w:pPr>
            <w:r/>
            <w:r>
              <w:rPr>
                <w:sz w:val="19"/>
              </w:rPr>
              <w:t>Identify risks in sample messages</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“Data Privacy and Security” to learners’ home, school or community experiences. Ask 2–3 short questions and accept examples in familiar Nigerian contexts.</w:t>
      </w:r>
    </w:p>
    <w:p>
      <w:pPr>
        <w:pStyle w:val="ListBullet"/>
      </w:pPr>
      <w:r>
        <w:t>Explain and model the first part of the scheme content: Period 1: Passwords; phishing; permission Period 2: Identify risks in sample messages.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“Data Privacy and Security”?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“Data Privacy and Security”.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6, Third Term, Week 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