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Planning</w:t>
      </w:r>
    </w:p>
    <w:p>
      <w:pPr>
        <w:spacing w:after="120"/>
        <w:jc w:val="center"/>
      </w:pPr>
      <w:r>
        <w:rPr>
          <w:b/>
          <w:i w:val="0"/>
          <w:color w:val="4C1D95"/>
          <w:sz w:val="30"/>
        </w:rPr>
        <w:t>Primary 6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Project Planning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Planning'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Problem statement; audience; metrics</w:t>
            </w:r>
          </w:p>
        </w:tc>
      </w:tr>
      <w:tr>
        <w:tc>
          <w:tcPr>
            <w:tcW w:type="dxa" w:w="1701"/>
          </w:tcPr>
          <w:p>
            <w:pPr>
              <w:spacing w:after="40"/>
            </w:pPr>
            <w:r/>
            <w:r>
              <w:rPr>
                <w:sz w:val="19"/>
              </w:rPr>
              <w:t>Period 2</w:t>
            </w:r>
          </w:p>
        </w:tc>
        <w:tc>
          <w:tcPr>
            <w:tcW w:type="dxa" w:w="7654"/>
          </w:tcPr>
          <w:p>
            <w:pPr>
              <w:spacing w:after="40"/>
            </w:pPr>
            <w:r/>
            <w:r>
              <w:rPr>
                <w:sz w:val="19"/>
              </w:rPr>
              <w:t>Prepare project plan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Planning” to learners’ home, school or community experiences. Ask 2–3 short questions and accept examples in familiar Nigerian contexts.</w:t>
      </w:r>
    </w:p>
    <w:p>
      <w:pPr>
        <w:pStyle w:val="ListBullet"/>
      </w:pPr>
      <w:r>
        <w:t>Explain and model the first part of the scheme content: Period 1: Problem statement; audience; metrics Period 2: Prepare project plan.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Planning”?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Planning”.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