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Final Portfolio</w:t>
      </w:r>
    </w:p>
    <w:p>
      <w:pPr>
        <w:spacing w:after="120"/>
        <w:jc w:val="center"/>
      </w:pPr>
      <w:r>
        <w:rPr>
          <w:b/>
          <w:i w:val="0"/>
          <w:color w:val="4C1D95"/>
          <w:sz w:val="30"/>
        </w:rPr>
        <w:t>Primary 6 · Third Term · Week 9</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9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9 of Third Term</w:t>
            </w:r>
          </w:p>
        </w:tc>
      </w:tr>
      <w:tr>
        <w:tc>
          <w:tcPr>
            <w:tcW w:type="dxa" w:w="2551"/>
          </w:tcPr>
          <w:p>
            <w:pPr>
              <w:spacing w:after="40"/>
            </w:pPr>
            <w:r/>
            <w:r>
              <w:rPr>
                <w:sz w:val="19"/>
              </w:rPr>
              <w:t>Topic</w:t>
            </w:r>
          </w:p>
        </w:tc>
        <w:tc>
          <w:tcPr>
            <w:tcW w:type="dxa" w:w="6803"/>
          </w:tcPr>
          <w:p>
            <w:pPr>
              <w:spacing w:after="40"/>
            </w:pPr>
            <w:r/>
            <w:r>
              <w:rPr>
                <w:sz w:val="19"/>
              </w:rPr>
              <w:t>Final Portfolio</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'Final Portfolio'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Select artefacts; describe learning</w:t>
            </w:r>
          </w:p>
        </w:tc>
      </w:tr>
      <w:tr>
        <w:tc>
          <w:tcPr>
            <w:tcW w:type="dxa" w:w="1701"/>
          </w:tcPr>
          <w:p>
            <w:pPr>
              <w:spacing w:after="40"/>
            </w:pPr>
            <w:r/>
            <w:r>
              <w:rPr>
                <w:sz w:val="19"/>
              </w:rPr>
              <w:t>Period 2</w:t>
            </w:r>
          </w:p>
        </w:tc>
        <w:tc>
          <w:tcPr>
            <w:tcW w:type="dxa" w:w="7654"/>
          </w:tcPr>
          <w:p>
            <w:pPr>
              <w:spacing w:after="40"/>
            </w:pPr>
            <w:r/>
            <w:r>
              <w:rPr>
                <w:sz w:val="19"/>
              </w:rPr>
              <w:t>Prepare portfolio with teacher guidance</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“Final Portfolio” to learners’ home, school or community experiences. Ask 2–3 short questions and accept examples in familiar Nigerian contexts.</w:t>
      </w:r>
    </w:p>
    <w:p>
      <w:pPr>
        <w:pStyle w:val="ListBullet"/>
      </w:pPr>
      <w:r>
        <w:t>Explain and model the first part of the scheme content: Period 1: Select artefacts; describe learning Period 2: Prepare portfolio with teacher guidance.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“Final Portfolio”?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“Final Portfolio”.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