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in Pictures</w:t>
      </w:r>
    </w:p>
    <w:p>
      <w:pPr>
        <w:spacing w:after="120"/>
        <w:jc w:val="center"/>
      </w:pPr>
      <w:r>
        <w:rPr>
          <w:b/>
          <w:i w:val="0"/>
          <w:color w:val="4C1D95"/>
          <w:sz w:val="30"/>
        </w:rPr>
        <w:t>Primary 1 · Third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4 of Third Term</w:t>
            </w:r>
          </w:p>
        </w:tc>
      </w:tr>
      <w:tr>
        <w:tc>
          <w:tcPr>
            <w:tcW w:type="dxa" w:w="2551"/>
          </w:tcPr>
          <w:p>
            <w:pPr>
              <w:spacing w:after="40"/>
            </w:pPr>
            <w:r/>
            <w:r>
              <w:rPr>
                <w:sz w:val="19"/>
              </w:rPr>
              <w:t>Topic</w:t>
            </w:r>
          </w:p>
        </w:tc>
        <w:tc>
          <w:tcPr>
            <w:tcW w:type="dxa" w:w="6803"/>
          </w:tcPr>
          <w:p>
            <w:pPr>
              <w:spacing w:after="40"/>
            </w:pPr>
            <w:r/>
            <w:r>
              <w:rPr>
                <w:sz w:val="19"/>
              </w:rPr>
              <w:t>Data in Pictures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in Pictures'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Picture counts; comparing groups</w:t>
            </w:r>
          </w:p>
        </w:tc>
      </w:tr>
      <w:tr>
        <w:tc>
          <w:tcPr>
            <w:tcW w:type="dxa" w:w="1701"/>
          </w:tcPr>
          <w:p>
            <w:pPr>
              <w:spacing w:after="40"/>
            </w:pPr>
            <w:r/>
            <w:r>
              <w:rPr>
                <w:sz w:val="19"/>
              </w:rPr>
              <w:t>Period 2</w:t>
            </w:r>
          </w:p>
        </w:tc>
        <w:tc>
          <w:tcPr>
            <w:tcW w:type="dxa" w:w="7654"/>
          </w:tcPr>
          <w:p>
            <w:pPr>
              <w:spacing w:after="40"/>
            </w:pPr>
            <w:r/>
            <w:r>
              <w:rPr>
                <w:sz w:val="19"/>
              </w:rPr>
              <w:t>Answer questions from a simple picture chart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in Pictures” to learners’ home, school or community experiences. Ask 2–3 short questions and accept examples in familiar Nigerian contexts.</w:t>
      </w:r>
    </w:p>
    <w:p>
      <w:pPr>
        <w:pStyle w:val="ListBullet"/>
      </w:pPr>
      <w:r>
        <w:t>Explain and model the first part of the scheme content: Period 1: Picture counts; comparing groups Period 2: Answer questions from a simple picture chart.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in a green uniform points at a large picture chart covered with colourful simple drawings while explaining what it shows."/>
            <wp:docPr id="1" name="Picture 1"/>
            <wp:cNvGraphicFramePr>
              <a:graphicFrameLocks noChangeAspect="1"/>
            </wp:cNvGraphicFramePr>
            <a:graphic>
              <a:graphicData uri="http://schemas.openxmlformats.org/drawingml/2006/picture">
                <pic:pic>
                  <pic:nvPicPr>
                    <pic:cNvPr id="0" name="t3w4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Read the chart: the pupil points at the picture chart and explains what each row shows.</w:t>
      </w:r>
    </w:p>
    <w:p>
      <w:pPr>
        <w:jc w:val="center"/>
      </w:pPr>
      <w:r>
        <w:drawing>
          <wp:inline xmlns:a="http://schemas.openxmlformats.org/drawingml/2006/main" xmlns:pic="http://schemas.openxmlformats.org/drawingml/2006/picture">
            <wp:extent cx="4680000" cy="3120000" descr="A young Nigerian schoolboy in a green uniform sits at his desk drawing simple pictures in neat rows on his paper with a crayon, making his picture tally."/>
            <wp:docPr id="2" name="Picture 2"/>
            <wp:cNvGraphicFramePr>
              <a:graphicFrameLocks noChangeAspect="1"/>
            </wp:cNvGraphicFramePr>
            <a:graphic>
              <a:graphicData uri="http://schemas.openxmlformats.org/drawingml/2006/picture">
                <pic:pic>
                  <pic:nvPicPr>
                    <pic:cNvPr id="0" name="t3w4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Count with marks: the pupil draws one picture for each thing he saw, making a simple picture tally.</w:t>
      </w:r>
    </w:p>
    <w:p>
      <w:pPr>
        <w:jc w:val="center"/>
      </w:pPr>
      <w:r>
        <w:drawing>
          <wp:inline xmlns:a="http://schemas.openxmlformats.org/drawingml/2006/main" xmlns:pic="http://schemas.openxmlformats.org/drawingml/2006/picture">
            <wp:extent cx="4680000" cy="3120000" descr="Two young Nigerian pupils in green uniforms point at rows of colourful pictures on a wall board, counting them together with their fingers."/>
            <wp:docPr id="3" name="Picture 3"/>
            <wp:cNvGraphicFramePr>
              <a:graphicFrameLocks noChangeAspect="1"/>
            </wp:cNvGraphicFramePr>
            <a:graphic>
              <a:graphicData uri="http://schemas.openxmlformats.org/drawingml/2006/picture">
                <pic:pic>
                  <pic:nvPicPr>
                    <pic:cNvPr id="0" name="t3w4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Check together: partners point at each row of pictures and count them with their fingers.</w:t>
      </w:r>
    </w:p>
    <w:p>
      <w:pPr>
        <w:jc w:val="center"/>
      </w:pPr>
      <w:r>
        <w:drawing>
          <wp:inline xmlns:a="http://schemas.openxmlformats.org/drawingml/2006/main" xmlns:pic="http://schemas.openxmlformats.org/drawingml/2006/picture">
            <wp:extent cx="4680000" cy="3120000" descr="A Nigerian female teacher in a bright ankara-print dress helps young pupils in green uniforms arrange their picture cards into neat rows on a classroom table."/>
            <wp:docPr id="4" name="Picture 4"/>
            <wp:cNvGraphicFramePr>
              <a:graphicFrameLocks noChangeAspect="1"/>
            </wp:cNvGraphicFramePr>
            <a:graphic>
              <a:graphicData uri="http://schemas.openxmlformats.org/drawingml/2006/picture">
                <pic:pic>
                  <pic:nvPicPr>
                    <pic:cNvPr id="0" name="t3w4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Build the chart: the teacher helps the class lay their picture cards in rows to make one chart.</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“Data in Pictures”?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“Data in Pictures”.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