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Our Helpful Smart Device</w:t>
      </w:r>
    </w:p>
    <w:p>
      <w:pPr>
        <w:spacing w:after="120"/>
        <w:jc w:val="center"/>
      </w:pPr>
      <w:r>
        <w:rPr>
          <w:b/>
          <w:i w:val="0"/>
          <w:color w:val="4C1D95"/>
          <w:sz w:val="30"/>
        </w:rPr>
        <w:t>Primary 1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Our Helpful Smart Device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'Our Helpful Smart Device'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a community need; draw a helpful device</w:t>
            </w:r>
          </w:p>
        </w:tc>
      </w:tr>
      <w:tr>
        <w:tc>
          <w:tcPr>
            <w:tcW w:type="dxa" w:w="1701"/>
          </w:tcPr>
          <w:p>
            <w:pPr>
              <w:spacing w:after="40"/>
            </w:pPr>
            <w:r/>
            <w:r>
              <w:rPr>
                <w:sz w:val="19"/>
              </w:rPr>
              <w:t>Period 2</w:t>
            </w:r>
          </w:p>
        </w:tc>
        <w:tc>
          <w:tcPr>
            <w:tcW w:type="dxa" w:w="7654"/>
          </w:tcPr>
          <w:p>
            <w:pPr>
              <w:spacing w:after="40"/>
            </w:pPr>
            <w:r/>
            <w:r>
              <w:rPr>
                <w:sz w:val="19"/>
              </w:rPr>
              <w:t>Draw and label a device idea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“Our Helpful Smart Device” to learners’ home, school or community experiences. Ask 2–3 short questions and accept examples in familiar Nigerian contexts.</w:t>
      </w:r>
    </w:p>
    <w:p>
      <w:pPr>
        <w:pStyle w:val="ListBullet"/>
      </w:pPr>
      <w:r>
        <w:t>Explain and model the first part of the scheme content: Period 1: Choose a community need; draw a helpful device Period 2: Draw and label a device idea.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with braided hair sits on the floor holding a tablet and smiling at the happy star on its screen."/>
            <wp:docPr id="1" name="Picture 1"/>
            <wp:cNvGraphicFramePr>
              <a:graphicFrameLocks noChangeAspect="1"/>
            </wp:cNvGraphicFramePr>
            <a:graphic>
              <a:graphicData uri="http://schemas.openxmlformats.org/drawingml/2006/picture">
                <pic:pic>
                  <pic:nvPicPr>
                    <pic:cNvPr id="0" name="t2w9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The device helps: the smart device shows the pupil the right answer with a happy star, so she knows she is learning well.</w:t>
      </w:r>
    </w:p>
    <w:p>
      <w:pPr>
        <w:jc w:val="center"/>
      </w:pPr>
      <w:r>
        <w:drawing>
          <wp:inline xmlns:a="http://schemas.openxmlformats.org/drawingml/2006/main" xmlns:pic="http://schemas.openxmlformats.org/drawingml/2006/picture">
            <wp:extent cx="4680000" cy="3120000" descr="A young Nigerian schoolboy in a green uniform with a backpack leans toward a small white voice speaker on a desk, hands clasped, asking it a question politely."/>
            <wp:docPr id="2" name="Picture 2"/>
            <wp:cNvGraphicFramePr>
              <a:graphicFrameLocks noChangeAspect="1"/>
            </wp:cNvGraphicFramePr>
            <a:graphic>
              <a:graphicData uri="http://schemas.openxmlformats.org/drawingml/2006/picture">
                <pic:pic>
                  <pic:nvPicPr>
                    <pic:cNvPr id="0" name="t2w9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Ask politely: the pupil speaks clearly and politely to the smart device when he asks it a question.</w:t>
      </w:r>
    </w:p>
    <w:p>
      <w:pPr>
        <w:jc w:val="center"/>
      </w:pPr>
      <w:r>
        <w:drawing>
          <wp:inline xmlns:a="http://schemas.openxmlformats.org/drawingml/2006/main" xmlns:pic="http://schemas.openxmlformats.org/drawingml/2006/picture">
            <wp:extent cx="4680000" cy="3120000" descr="A Nigerian female teacher in a bright ankara-print dress stands beside a desk showing a tablet to two smiling young pupils in green uniforms."/>
            <wp:docPr id="3" name="Picture 3"/>
            <wp:cNvGraphicFramePr>
              <a:graphicFrameLocks noChangeAspect="1"/>
            </wp:cNvGraphicFramePr>
            <a:graphic>
              <a:graphicData uri="http://schemas.openxmlformats.org/drawingml/2006/picture">
                <pic:pic>
                  <pic:nvPicPr>
                    <pic:cNvPr id="0" name="t2w9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Learn together: the teacher shows the class how the tablet helps with counting and learning games.</w:t>
      </w:r>
    </w:p>
    <w:p>
      <w:pPr>
        <w:jc w:val="center"/>
      </w:pPr>
      <w:r>
        <w:drawing>
          <wp:inline xmlns:a="http://schemas.openxmlformats.org/drawingml/2006/main" xmlns:pic="http://schemas.openxmlformats.org/drawingml/2006/picture">
            <wp:extent cx="4680000" cy="3120000" descr="Two young Nigerian pupils in green uniforms stand beside a wooden desk, each holding a small learning device and smiling as they compare them."/>
            <wp:docPr id="4" name="Picture 4"/>
            <wp:cNvGraphicFramePr>
              <a:graphicFrameLocks noChangeAspect="1"/>
            </wp:cNvGraphicFramePr>
            <a:graphic>
              <a:graphicData uri="http://schemas.openxmlformats.org/drawingml/2006/picture">
                <pic:pic>
                  <pic:nvPicPr>
                    <pic:cNvPr id="0" name="t2w9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show a partner how your device helps you learn, and listen to theirs.</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“Our Helpful Smart Device”?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“Our Helpful Smart Device”.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