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Making Clear Choices</w:t>
      </w:r>
    </w:p>
    <w:p>
      <w:pPr>
        <w:spacing w:after="120"/>
        <w:jc w:val="center"/>
      </w:pPr>
      <w:r>
        <w:rPr>
          <w:b/>
          <w:i w:val="0"/>
          <w:color w:val="4C1D95"/>
          <w:sz w:val="30"/>
        </w:rPr>
        <w:t>Primary 1 · Second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4 of Second Term</w:t>
            </w:r>
          </w:p>
        </w:tc>
      </w:tr>
      <w:tr>
        <w:tc>
          <w:tcPr>
            <w:tcW w:type="dxa" w:w="2551"/>
          </w:tcPr>
          <w:p>
            <w:pPr>
              <w:spacing w:after="40"/>
            </w:pPr>
            <w:r/>
            <w:r>
              <w:rPr>
                <w:sz w:val="19"/>
              </w:rPr>
              <w:t>Topic</w:t>
            </w:r>
          </w:p>
        </w:tc>
        <w:tc>
          <w:tcPr>
            <w:tcW w:type="dxa" w:w="6803"/>
          </w:tcPr>
          <w:p>
            <w:pPr>
              <w:spacing w:after="40"/>
            </w:pPr>
            <w:r/>
            <w:r>
              <w:rPr>
                <w:sz w:val="19"/>
              </w:rPr>
              <w:t>Making Clear Choices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'Making Clear Choices'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Yes/no questions; simple choices</w:t>
            </w:r>
          </w:p>
        </w:tc>
      </w:tr>
      <w:tr>
        <w:tc>
          <w:tcPr>
            <w:tcW w:type="dxa" w:w="1701"/>
          </w:tcPr>
          <w:p>
            <w:pPr>
              <w:spacing w:after="40"/>
            </w:pPr>
            <w:r/>
            <w:r>
              <w:rPr>
                <w:sz w:val="19"/>
              </w:rPr>
              <w:t>Period 2</w:t>
            </w:r>
          </w:p>
        </w:tc>
        <w:tc>
          <w:tcPr>
            <w:tcW w:type="dxa" w:w="7654"/>
          </w:tcPr>
          <w:p>
            <w:pPr>
              <w:spacing w:after="40"/>
            </w:pPr>
            <w:r/>
            <w:r>
              <w:rPr>
                <w:sz w:val="19"/>
              </w:rPr>
              <w:t>Answer rule-based questions; create a two-choice game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“Making Clear Choices” to learners’ home, school or community experiences. Ask 2–3 short questions and accept examples in familiar Nigerian contexts.</w:t>
      </w:r>
    </w:p>
    <w:p>
      <w:pPr>
        <w:pStyle w:val="ListBullet"/>
      </w:pPr>
      <w:r>
        <w:t>Explain and model the first part of the scheme content: Period 1: Yes/no questions; simple choices Period 2: Answer rule-based questions; create a two-choice game.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boy in a green uniform stands beside a desk holding up a card with a red ball on it while a card with an orange floats beside his head and he thinks."/>
            <wp:docPr id="1" name="Picture 1"/>
            <wp:cNvGraphicFramePr>
              <a:graphicFrameLocks noChangeAspect="1"/>
            </wp:cNvGraphicFramePr>
            <a:graphic>
              <a:graphicData uri="http://schemas.openxmlformats.org/drawingml/2006/picture">
                <pic:pic>
                  <pic:nvPicPr>
                    <pic:cNvPr id="0" name="t2w4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Look and choose: the pupil has two things to choose between, a ball and an orange, and he is thinking before he picks.</w:t>
      </w:r>
    </w:p>
    <w:p>
      <w:pPr>
        <w:jc w:val="center"/>
      </w:pPr>
      <w:r>
        <w:drawing>
          <wp:inline xmlns:a="http://schemas.openxmlformats.org/drawingml/2006/main" xmlns:pic="http://schemas.openxmlformats.org/drawingml/2006/picture">
            <wp:extent cx="4680000" cy="3120000" descr="A young Nigerian schoolgirl with braided hair stands at a wooden table with one box inside a basket and another box beside it, raising her hand as she explains."/>
            <wp:docPr id="2" name="Picture 2"/>
            <wp:cNvGraphicFramePr>
              <a:graphicFrameLocks noChangeAspect="1"/>
            </wp:cNvGraphicFramePr>
            <a:graphic>
              <a:graphicData uri="http://schemas.openxmlformats.org/drawingml/2006/picture">
                <pic:pic>
                  <pic:nvPicPr>
                    <pic:cNvPr id="0" name="t2w4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Say your rule: the girl keeps her rule simple, one box goes in the basket, one box stays out.</w:t>
      </w:r>
    </w:p>
    <w:p>
      <w:pPr>
        <w:jc w:val="center"/>
      </w:pPr>
      <w:r>
        <w:drawing>
          <wp:inline xmlns:a="http://schemas.openxmlformats.org/drawingml/2006/main" xmlns:pic="http://schemas.openxmlformats.org/drawingml/2006/picture">
            <wp:extent cx="4680000" cy="3120000" descr="A Nigerian female teacher in a bright ankara-print dress stands in front of a chalkboard while two young pupils in green uniforms sit at desks, one raising a hand."/>
            <wp:docPr id="3" name="Picture 3"/>
            <wp:cNvGraphicFramePr>
              <a:graphicFrameLocks noChangeAspect="1"/>
            </wp:cNvGraphicFramePr>
            <a:graphic>
              <a:graphicData uri="http://schemas.openxmlformats.org/drawingml/2006/picture">
                <pic:pic>
                  <pic:nvPicPr>
                    <pic:cNvPr id="0" name="t2w4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Listen for the answer: the teacher asks the question, and the pupil who is sure raises a hand.</w:t>
      </w:r>
    </w:p>
    <w:p>
      <w:pPr>
        <w:jc w:val="center"/>
      </w:pPr>
      <w:r>
        <w:drawing>
          <wp:inline xmlns:a="http://schemas.openxmlformats.org/drawingml/2006/main" xmlns:pic="http://schemas.openxmlformats.org/drawingml/2006/picture">
            <wp:extent cx="4680000" cy="3120000" descr="Two young Nigerian pupils in green uniforms work together at a wooden desk with a blue bowl and a red cup on it, the girl pointing at the bowl while the boy smiles."/>
            <wp:docPr id="4" name="Picture 4"/>
            <wp:cNvGraphicFramePr>
              <a:graphicFrameLocks noChangeAspect="1"/>
            </wp:cNvGraphicFramePr>
            <a:graphic>
              <a:graphicData uri="http://schemas.openxmlformats.org/drawingml/2006/picture">
                <pic:pic>
                  <pic:nvPicPr>
                    <pic:cNvPr id="0" name="t2w4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Your turn: point to the one you choose and say why.</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“Making Clear Choices”?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“Making Clear Choices”.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