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People and Machines</w:t>
      </w:r>
    </w:p>
    <w:p>
      <w:pPr>
        <w:spacing w:after="120"/>
        <w:jc w:val="center"/>
      </w:pPr>
      <w:r>
        <w:rPr>
          <w:b/>
          <w:i w:val="0"/>
          <w:color w:val="4C1D95"/>
          <w:sz w:val="30"/>
        </w:rPr>
        <w:t>Primary 1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People and Machines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'People and Machines'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Things people do; things machines can do</w:t>
            </w:r>
          </w:p>
        </w:tc>
      </w:tr>
      <w:tr>
        <w:tc>
          <w:tcPr>
            <w:tcW w:type="dxa" w:w="1701"/>
          </w:tcPr>
          <w:p>
            <w:pPr>
              <w:spacing w:after="40"/>
            </w:pPr>
            <w:r/>
            <w:r>
              <w:rPr>
                <w:sz w:val="19"/>
              </w:rPr>
              <w:t>Period 2</w:t>
            </w:r>
          </w:p>
        </w:tc>
        <w:tc>
          <w:tcPr>
            <w:tcW w:type="dxa" w:w="7654"/>
          </w:tcPr>
          <w:p>
            <w:pPr>
              <w:spacing w:after="40"/>
            </w:pPr>
            <w:r/>
            <w:r>
              <w:rPr>
                <w:sz w:val="19"/>
              </w:rPr>
              <w:t>Sort tasks into people, machines, or both</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“People and Machines” to learners’ home, school or community experiences. Ask 2–3 short questions and accept examples in familiar Nigerian contexts.</w:t>
      </w:r>
    </w:p>
    <w:p>
      <w:pPr>
        <w:pStyle w:val="ListBullet"/>
      </w:pPr>
      <w:r>
        <w:t>Explain and model the first part of the scheme content: Period 1: Things people do; things machines can do Period 2: Sort tasks into people, machines, or both.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Nigerian mother sweeps the floor with a broom while a standing electric fan spins and a radio sits on a wooden stool beside her."/>
            <wp:docPr id="1" name="Picture 1"/>
            <wp:cNvGraphicFramePr>
              <a:graphicFrameLocks noChangeAspect="1"/>
            </wp:cNvGraphicFramePr>
            <a:graphic>
              <a:graphicData uri="http://schemas.openxmlformats.org/drawingml/2006/picture">
                <pic:pic>
                  <pic:nvPicPr>
                    <pic:cNvPr id="0" name="w5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Some tasks people do with their own hands: this mother sweeps the compound with a broom. The standing fan and the radio are machines that do their own work.</w:t>
      </w:r>
    </w:p>
    <w:p>
      <w:pPr>
        <w:jc w:val="center"/>
      </w:pPr>
      <w:r>
        <w:drawing>
          <wp:inline xmlns:a="http://schemas.openxmlformats.org/drawingml/2006/main" xmlns:pic="http://schemas.openxmlformats.org/drawingml/2006/picture">
            <wp:extent cx="4680000" cy="3120000" descr="A grain grinding machine with a funnel stands beside a kiosk while a Nigerian schoolgirl in a green uniform watches happily."/>
            <wp:docPr id="2" name="Picture 2"/>
            <wp:cNvGraphicFramePr>
              <a:graphicFrameLocks noChangeAspect="1"/>
            </wp:cNvGraphicFramePr>
            <a:graphic>
              <a:graphicData uri="http://schemas.openxmlformats.org/drawingml/2006/picture">
                <pic:pic>
                  <pic:nvPicPr>
                    <pic:cNvPr id="0" name="w5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A grinding machine helps people turn grain into flour. Machines can help people work faster and do heavy work.</w:t>
      </w:r>
    </w:p>
    <w:p>
      <w:pPr>
        <w:jc w:val="center"/>
      </w:pPr>
      <w:r>
        <w:drawing>
          <wp:inline xmlns:a="http://schemas.openxmlformats.org/drawingml/2006/main" xmlns:pic="http://schemas.openxmlformats.org/drawingml/2006/picture">
            <wp:extent cx="4680000" cy="3120000" descr="Two Nigerian primary school pupils in green uniforms sort blank picture cards into a blue box and an orange box on a wooden table."/>
            <wp:docPr id="3" name="Picture 3"/>
            <wp:cNvGraphicFramePr>
              <a:graphicFrameLocks noChangeAspect="1"/>
            </wp:cNvGraphicFramePr>
            <a:graphic>
              <a:graphicData uri="http://schemas.openxmlformats.org/drawingml/2006/picture">
                <pic:pic>
                  <pic:nvPicPr>
                    <pic:cNvPr id="0" name="w5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Sorting task: the pupils place each card in the box where it belongs. One box holds tasks people do; the other holds tasks machines do.</w:t>
      </w:r>
    </w:p>
    <w:p>
      <w:pPr>
        <w:jc w:val="center"/>
      </w:pPr>
      <w:r>
        <w:drawing>
          <wp:inline xmlns:a="http://schemas.openxmlformats.org/drawingml/2006/main" xmlns:pic="http://schemas.openxmlformats.org/drawingml/2006/picture">
            <wp:extent cx="4680000" cy="3120000" descr="A young Nigerian girl in a green school uniform sits at a wooden desk drawing a radio and an electric fan in her exercise book."/>
            <wp:docPr id="4" name="Picture 4"/>
            <wp:cNvGraphicFramePr>
              <a:graphicFrameLocks noChangeAspect="1"/>
            </wp:cNvGraphicFramePr>
            <a:graphic>
              <a:graphicData uri="http://schemas.openxmlformats.org/drawingml/2006/picture">
                <pic:pic>
                  <pic:nvPicPr>
                    <pic:cNvPr id="0" name="w5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draw one thing people do with their hands and one machine that helps, then show your drawing to your family.</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“People and Machines”?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“People and Machines”.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