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Getting to Know Technology</w:t>
      </w:r>
    </w:p>
    <w:p>
      <w:pPr>
        <w:spacing w:after="120"/>
        <w:jc w:val="center"/>
      </w:pPr>
      <w:r>
        <w:rPr>
          <w:b/>
          <w:i w:val="0"/>
          <w:color w:val="4C1D95"/>
          <w:sz w:val="30"/>
        </w:rPr>
        <w:t>Primary 1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Getting to Know Technology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'Getting to Know Technology'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Meaning of technology; familiar tools</w:t>
            </w:r>
          </w:p>
        </w:tc>
      </w:tr>
      <w:tr>
        <w:tc>
          <w:tcPr>
            <w:tcW w:type="dxa" w:w="1701"/>
          </w:tcPr>
          <w:p>
            <w:pPr>
              <w:spacing w:after="40"/>
            </w:pPr>
            <w:r/>
            <w:r>
              <w:rPr>
                <w:sz w:val="19"/>
              </w:rPr>
              <w:t>Period 2</w:t>
            </w:r>
          </w:p>
        </w:tc>
        <w:tc>
          <w:tcPr>
            <w:tcW w:type="dxa" w:w="7654"/>
          </w:tcPr>
          <w:p>
            <w:pPr>
              <w:spacing w:after="40"/>
            </w:pPr>
            <w:r/>
            <w:r>
              <w:rPr>
                <w:sz w:val="19"/>
              </w:rPr>
              <w:t>Identify everyday tools; sort tools by use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Sample Pictures</w:t>
      </w:r>
    </w:p>
    <w:p>
      <w:pPr>
        <w:spacing w:after="120"/>
      </w:pPr>
      <w:r>
        <w:rPr>
          <w:b w:val="0"/>
          <w:i w:val="0"/>
        </w:rPr>
        <w:t>The illustrations below are original Rehoteq sample pictures for this lesson. Each carries a text caption, and important information does not depend on colour alone. Teachers may also draw these objects on the chalkboard or bring the real objects to class.</w:t>
      </w:r>
    </w:p>
    <w:p>
      <w:pPr>
        <w:jc w:val="center"/>
      </w:pPr>
      <w:r>
        <w:drawing>
          <wp:inline xmlns:a="http://schemas.openxmlformats.org/drawingml/2006/main" xmlns:pic="http://schemas.openxmlformats.org/drawingml/2006/picture">
            <wp:extent cx="4680000" cy="3120000" descr="A Nigerian teacher holds up a spoon and a cup while pupils sit and watch; a broom, a radio and a feature phone rest on the table."/>
            <wp:docPr id="1" name="Picture 1"/>
            <wp:cNvGraphicFramePr>
              <a:graphicFrameLocks noChangeAspect="1"/>
            </wp:cNvGraphicFramePr>
            <a:graphic>
              <a:graphicData uri="http://schemas.openxmlformats.org/drawingml/2006/picture">
                <pic:pic>
                  <pic:nvPicPr>
                    <pic:cNvPr id="0" name="w1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The teacher shows familiar tools people use every day: a spoon, a cup, a broom, a radio and a small phone. Technology means tools people make to help them work.</w:t>
      </w:r>
    </w:p>
    <w:p>
      <w:pPr>
        <w:jc w:val="center"/>
      </w:pPr>
      <w:r>
        <w:drawing>
          <wp:inline xmlns:a="http://schemas.openxmlformats.org/drawingml/2006/main" xmlns:pic="http://schemas.openxmlformats.org/drawingml/2006/picture">
            <wp:extent cx="4680000" cy="3120000" descr="A row of six outline boxes, each holding one object: a spoon, a cup, a broom, a bucket, a radio and a mobile phone."/>
            <wp:docPr id="2" name="Picture 2"/>
            <wp:cNvGraphicFramePr>
              <a:graphicFrameLocks noChangeAspect="1"/>
            </wp:cNvGraphicFramePr>
            <a:graphic>
              <a:graphicData uri="http://schemas.openxmlformats.org/drawingml/2006/picture">
                <pic:pic>
                  <pic:nvPicPr>
                    <pic:cNvPr id="0" name="w1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Six everyday tools in order: spoon, cup, broom, bucket, radio and phone. Each object sits in its own box so learners can point and name them one by one.</w:t>
      </w:r>
    </w:p>
    <w:p>
      <w:pPr>
        <w:jc w:val="center"/>
      </w:pPr>
      <w:r>
        <w:drawing>
          <wp:inline xmlns:a="http://schemas.openxmlformats.org/drawingml/2006/main" xmlns:pic="http://schemas.openxmlformats.org/drawingml/2006/picture">
            <wp:extent cx="4680000" cy="3120000" descr="A girl places a cup into one basket while a boy watches; a second basket holds a broom, a bucket and a small radio."/>
            <wp:docPr id="3" name="Picture 3"/>
            <wp:cNvGraphicFramePr>
              <a:graphicFrameLocks noChangeAspect="1"/>
            </wp:cNvGraphicFramePr>
            <a:graphic>
              <a:graphicData uri="http://schemas.openxmlformats.org/drawingml/2006/picture">
                <pic:pic>
                  <pic:nvPicPr>
                    <pic:cNvPr id="0" name="w1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Two pupils sort objects into two baskets by what each tool is used for. One basket holds things we eat with, the other holds things we clean and listen with.</w:t>
      </w:r>
    </w:p>
    <w:p>
      <w:pPr>
        <w:jc w:val="center"/>
      </w:pPr>
      <w:r>
        <w:drawing>
          <wp:inline xmlns:a="http://schemas.openxmlformats.org/drawingml/2006/main" xmlns:pic="http://schemas.openxmlformats.org/drawingml/2006/picture">
            <wp:extent cx="4680000" cy="3120000" descr="A young girl in school uniform smiles while drawing a picture of a mobile phone in her exercise book with a pencil."/>
            <wp:docPr id="4" name="Picture 4"/>
            <wp:cNvGraphicFramePr>
              <a:graphicFrameLocks noChangeAspect="1"/>
            </wp:cNvGraphicFramePr>
            <a:graphic>
              <a:graphicData uri="http://schemas.openxmlformats.org/drawingml/2006/picture">
                <pic:pic>
                  <pic:nvPicPr>
                    <pic:cNvPr id="0" name="w1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A learner draws her favourite everyday tool in her exercise book. Drawing and naming a tool is a simple home activity with no device needed.</w:t>
      </w:r>
    </w:p>
    <w:p>
      <w:pPr>
        <w:pStyle w:val="Heading1"/>
      </w:pPr>
      <w:r>
        <w:t>6. Period One: Introduce and Model</w:t>
      </w:r>
    </w:p>
    <w:p>
      <w:pPr>
        <w:pStyle w:val="ListBullet"/>
      </w:pPr>
      <w:r>
        <w:t>Starter: connect “Getting to Know Technology” to learners’ home, school or community experiences. Ask 2–3 short questions and accept examples in familiar Nigerian contexts.</w:t>
      </w:r>
    </w:p>
    <w:p>
      <w:pPr>
        <w:pStyle w:val="ListBullet"/>
      </w:pPr>
      <w:r>
        <w:t>Explain and model the first part of the scheme content: Period 1: Meaning of technology; familiar tools Period 2: Identify everyday tools; sort tools by use.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“Getting to Know Technology”?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“Getting to Know Technology”.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Watch the Lesson Video</w:t>
      </w:r>
    </w:p>
    <w:p>
      <w:pPr>
        <w:spacing w:after="120"/>
      </w:pPr>
      <w:r>
        <w:rPr>
          <w:b w:val="0"/>
          <w:i w:val="0"/>
        </w:rPr>
        <w:t>This week comes with a one-minute lesson video, narrated by a Nigerian female voice. Pupils can watch it on any phone with internet. Scan the code below with a phone camera, or visit rehoteq.com and open the Primary 1 lesson note library.</w:t>
      </w:r>
    </w:p>
    <w:p>
      <w:pPr>
        <w:jc w:val="center"/>
      </w:pPr>
      <w:r>
        <w:drawing>
          <wp:inline xmlns:a="http://schemas.openxmlformats.org/drawingml/2006/main" xmlns:pic="http://schemas.openxmlformats.org/drawingml/2006/picture">
            <wp:extent cx="4680000" cy="4680000" descr="A square QR code that links to the Week 1 lesson video on rehoteq.com."/>
            <wp:docPr id="5" name="Picture 5"/>
            <wp:cNvGraphicFramePr>
              <a:graphicFrameLocks noChangeAspect="1"/>
            </wp:cNvGraphicFramePr>
            <a:graphic>
              <a:graphicData uri="http://schemas.openxmlformats.org/drawingml/2006/picture">
                <pic:pic>
                  <pic:nvPicPr>
                    <pic:cNvPr id="0" name="w1_watch_qr.png"/>
                    <pic:cNvPicPr/>
                  </pic:nvPicPr>
                  <pic:blipFill>
                    <a:blip r:embed="rId15"/>
                    <a:stretch>
                      <a:fillRect/>
                    </a:stretch>
                  </pic:blipFill>
                  <pic:spPr>
                    <a:xfrm>
                      <a:off x="0" y="0"/>
                      <a:ext cx="4680000" cy="4680000"/>
                    </a:xfrm>
                    <a:prstGeom prst="rect"/>
                  </pic:spPr>
                </pic:pic>
              </a:graphicData>
            </a:graphic>
          </wp:inline>
        </w:drawing>
      </w:r>
    </w:p>
    <w:p>
      <w:pPr>
        <w:jc w:val="center"/>
      </w:pPr>
      <w:r>
        <w:rPr>
          <w:i/>
          <w:color w:val="555555"/>
          <w:sz w:val="18"/>
        </w:rPr>
        <w:t>Scan this QR code with a phone camera to watch the Week 1 lesson video on rehoteq.com.</w:t>
      </w:r>
    </w:p>
    <w:p>
      <w:pPr>
        <w:pStyle w:val="Heading1"/>
      </w:pPr>
      <w:r>
        <w:t>15.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