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Privacy Basics</w:t>
      </w:r>
    </w:p>
    <w:p>
      <w:pPr>
        <w:spacing w:after="120"/>
        <w:jc w:val="center"/>
      </w:pPr>
      <w:r>
        <w:rPr>
          <w:b/>
          <w:i w:val="0"/>
          <w:color w:val="4C1D95"/>
          <w:sz w:val="30"/>
        </w:rPr>
        <w:t>Primary 1 · First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8 of First Term</w:t>
            </w:r>
          </w:p>
        </w:tc>
      </w:tr>
      <w:tr>
        <w:tc>
          <w:tcPr>
            <w:tcW w:type="dxa" w:w="2551"/>
          </w:tcPr>
          <w:p>
            <w:pPr>
              <w:spacing w:after="40"/>
            </w:pPr>
            <w:r/>
            <w:r>
              <w:rPr>
                <w:sz w:val="19"/>
              </w:rPr>
              <w:t>Topic</w:t>
            </w:r>
          </w:p>
        </w:tc>
        <w:tc>
          <w:tcPr>
            <w:tcW w:type="dxa" w:w="6803"/>
          </w:tcPr>
          <w:p>
            <w:pPr>
              <w:spacing w:after="40"/>
            </w:pPr>
            <w:r/>
            <w:r>
              <w:rPr>
                <w:sz w:val="19"/>
              </w:rPr>
              <w:t>Privacy Basics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'Privacy Basics'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Personal information; trusted adults</w:t>
            </w:r>
          </w:p>
        </w:tc>
      </w:tr>
      <w:tr>
        <w:tc>
          <w:tcPr>
            <w:tcW w:type="dxa" w:w="1701"/>
          </w:tcPr>
          <w:p>
            <w:pPr>
              <w:spacing w:after="40"/>
            </w:pPr>
            <w:r/>
            <w:r>
              <w:rPr>
                <w:sz w:val="19"/>
              </w:rPr>
              <w:t>Period 2</w:t>
            </w:r>
          </w:p>
        </w:tc>
        <w:tc>
          <w:tcPr>
            <w:tcW w:type="dxa" w:w="7654"/>
          </w:tcPr>
          <w:p>
            <w:pPr>
              <w:spacing w:after="40"/>
            </w:pPr>
            <w:r/>
            <w:r>
              <w:rPr>
                <w:sz w:val="19"/>
              </w:rPr>
              <w:t>Identify information not to share; practise asking for help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“Privacy Basics” to learners’ home, school or community experiences. Ask 2–3 short questions and accept examples in familiar Nigerian contexts.</w:t>
      </w:r>
    </w:p>
    <w:p>
      <w:pPr>
        <w:pStyle w:val="ListBullet"/>
      </w:pPr>
      <w:r>
        <w:t>Explain and model the first part of the scheme content: Period 1: Personal information; trusted adults Period 2: Identify information not to share; practise asking for help.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in a green uniform hugs her exercise book close to her chest with both arms, looking thoughtful, while a friendly classmate stands beside her."/>
            <wp:docPr id="1" name="Picture 1"/>
            <wp:cNvGraphicFramePr>
              <a:graphicFrameLocks noChangeAspect="1"/>
            </wp:cNvGraphicFramePr>
            <a:graphic>
              <a:graphicData uri="http://schemas.openxmlformats.org/drawingml/2006/picture">
                <pic:pic>
                  <pic:nvPicPr>
                    <pic:cNvPr id="0" name="w8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Some information is private: keep things that belong only to you close, and think carefully about who may see them.</w:t>
      </w:r>
    </w:p>
    <w:p>
      <w:pPr>
        <w:jc w:val="center"/>
      </w:pPr>
      <w:r>
        <w:drawing>
          <wp:inline xmlns:a="http://schemas.openxmlformats.org/drawingml/2006/main" xmlns:pic="http://schemas.openxmlformats.org/drawingml/2006/picture">
            <wp:extent cx="4680000" cy="3120000" descr="A young Nigerian schoolboy sits on a wooden bench beside his mother, a kind woman in a colourful headwrap, and talks to her while she listens warmly with her arm around him."/>
            <wp:docPr id="2" name="Picture 2"/>
            <wp:cNvGraphicFramePr>
              <a:graphicFrameLocks noChangeAspect="1"/>
            </wp:cNvGraphicFramePr>
            <a:graphic>
              <a:graphicData uri="http://schemas.openxmlformats.org/drawingml/2006/picture">
                <pic:pic>
                  <pic:nvPicPr>
                    <pic:cNvPr id="0" name="w8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A trusted adult, like a parent or guardian, is the right person to talk to when something on a device worries you.</w:t>
      </w:r>
    </w:p>
    <w:p>
      <w:pPr>
        <w:jc w:val="center"/>
      </w:pPr>
      <w:r>
        <w:drawing>
          <wp:inline xmlns:a="http://schemas.openxmlformats.org/drawingml/2006/main" xmlns:pic="http://schemas.openxmlformats.org/drawingml/2006/picture">
            <wp:extent cx="4680000" cy="3120000" descr="A Nigerian schoolboy in uniform politely holds a folded paper card close to himself and shakes his head at an unfamiliar man at a compound gate, while a classmate stands beside him."/>
            <wp:docPr id="3" name="Picture 3"/>
            <wp:cNvGraphicFramePr>
              <a:graphicFrameLocks noChangeAspect="1"/>
            </wp:cNvGraphicFramePr>
            <a:graphic>
              <a:graphicData uri="http://schemas.openxmlformats.org/drawingml/2006/picture">
                <pic:pic>
                  <pic:nvPicPr>
                    <pic:cNvPr id="0" name="w8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Do not share your name, address or phone number with people you do not know. Politely say no, and tell a trusted adult.</w:t>
      </w:r>
    </w:p>
    <w:p>
      <w:pPr>
        <w:jc w:val="center"/>
      </w:pPr>
      <w:r>
        <w:drawing>
          <wp:inline xmlns:a="http://schemas.openxmlformats.org/drawingml/2006/main" xmlns:pic="http://schemas.openxmlformats.org/drawingml/2006/picture">
            <wp:extent cx="4680000" cy="3120000" descr="A young Nigerian schoolgirl in a green uniform raises her hand high to ask her teacher, who bends down to listen kindly in a cheerful classroom."/>
            <wp:docPr id="4" name="Picture 4"/>
            <wp:cNvGraphicFramePr>
              <a:graphicFrameLocks noChangeAspect="1"/>
            </wp:cNvGraphicFramePr>
            <a:graphic>
              <a:graphicData uri="http://schemas.openxmlformats.org/drawingml/2006/picture">
                <pic:pic>
                  <pic:nvPicPr>
                    <pic:cNvPr id="0" name="w8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Asking for help is a good habit: raise your hand and ask your teacher whenever you are not sure.</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“Privacy Basics”?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“Privacy Basics”.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