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topher Douglas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OBJECTIVE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Seeking full-time employment in a challenging software engineering and research role where I am free to learn and improve my programming abilities and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 and Lab 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(of 5 other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simulation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and tools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meta-heuristics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genetic algorithms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sim. annealing)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Researching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techniques, including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neural networks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regression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feature extraction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 journal and conference papers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biofilm 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3D biofilm wrinkling into current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development time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approximately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software migration to newer tech including Microsoft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Release Management, and Visual Studio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 tools to automate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creation and deployment processes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Windows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Powershell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websites for event registrations in C#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Co-Owner and Webmaster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Co-founded and expanded Carnections, Inc., which brokers the shipment of automobiles nationwide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created, and managed 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 and implemented search engine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Shipping Connections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September 2007 - January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Developer and Software Engineer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Expanded online presence, improved interoffice efficiency, and increased sales by programming and managing several interactive, data-driven websites, information and communication tools and business applications utilizing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ASP.NET, 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“going paperless” by computerizing the office’s organization, file system,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Computer Science, M.S., GPA 3.89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(mostly optimization)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Intelligent Systems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Speech and Natural Lang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Processing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Bioinformatics, Database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Parameter Fitting a Multi-scale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 Biofilm Morphology using a Parallelized Multi-objective Genetic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 scholarship)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Additional Honors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Cottonwood High school Salutatorian in 2007 (2nd in graduating class of 600), National AP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References and a draft of my thesis are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