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Back-end web and application developer of 6-years industry experience across the full stack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TFS, Windows Server and other Microsoft technologies. Creative, analytical thinker with excellent logical reasoning ability and superb written communication skills. Optimization and computational biology researcher with 2 years experience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techniques: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search algorithms, neural networks, regression, clustering and feature extraction programmed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(4 years experience with Java).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Machine Learning and Computational Biology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and Lab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optimization software and successfully applied it to fitting two biological models.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closely with the Institute of Systems Biology on modelling research.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biological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automating development, build and deployment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successful software migration to newer technologies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Co-Owner, Founder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aintained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its website, carnections.com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Significantly expanded online presence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search engine optimization (SEO)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Web Developer and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Brought company into 21st century by building data-driven websites to increase sales and capture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Gained formative experience across full development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Computer Science, M.S., GPA 3.89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optimization,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Intelligent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Speech and Natural Lang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Bioinformatics,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 Sys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Fitting a Multiscale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Biofilm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Cottonwood High Salutatorian in 2007 (2nd in graduating class of 600), Eagle Scout, National AP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Third author on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Bridging the multiscale gap: Identifying cellular parameters from multicellular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Two additional publications on biofilm modelling and parameter fitting are in-progress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SKILLS and TECHNOLOGIES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and App - full stack, big data, speech and language processing, data visualization, machine learning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Java, Python, Matlab, C++, .NET, SQL, MapReduce, MVC, Powershell, Javascript, Jquery, Git, TFS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more information on my master’s thesis, publications, and code samples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