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69304" w14:textId="60E1AB9D" w:rsidR="009F6E50" w:rsidRPr="009F6E50" w:rsidRDefault="007A243D" w:rsidP="009F6E50">
      <w:pPr>
        <w:rPr>
          <w:b/>
          <w:bCs/>
          <w:sz w:val="32"/>
          <w:szCs w:val="32"/>
        </w:rPr>
      </w:pPr>
      <w:r w:rsidRPr="009F6E50">
        <w:rPr>
          <w:b/>
          <w:bCs/>
          <w:sz w:val="32"/>
          <w:szCs w:val="32"/>
        </w:rPr>
        <w:t>R</w:t>
      </w:r>
      <w:r w:rsidR="009F6E50">
        <w:rPr>
          <w:b/>
          <w:bCs/>
          <w:sz w:val="32"/>
          <w:szCs w:val="32"/>
        </w:rPr>
        <w:t>ATIO ANALYSIS AND</w:t>
      </w:r>
      <w:r w:rsidR="009F6E50" w:rsidRPr="009F6E50">
        <w:rPr>
          <w:b/>
          <w:bCs/>
          <w:sz w:val="32"/>
          <w:szCs w:val="32"/>
        </w:rPr>
        <w:t xml:space="preserve"> INTERPRETATIONS:</w:t>
      </w:r>
    </w:p>
    <w:p w14:paraId="2A778FC7" w14:textId="4A5F4C27" w:rsidR="00324A6B" w:rsidRPr="00324A6B" w:rsidRDefault="009F6E50" w:rsidP="00324A6B">
      <w:pPr>
        <w:pStyle w:val="ListParagraph"/>
        <w:numPr>
          <w:ilvl w:val="0"/>
          <w:numId w:val="8"/>
        </w:numPr>
        <w:rPr>
          <w:b/>
          <w:bCs/>
          <w:sz w:val="28"/>
          <w:szCs w:val="28"/>
        </w:rPr>
      </w:pPr>
      <w:r w:rsidRPr="009F6E50">
        <w:rPr>
          <w:rFonts w:ascii="Calibri" w:eastAsia="Times New Roman" w:hAnsi="Calibri" w:cs="Calibri"/>
          <w:b/>
          <w:bCs/>
          <w:color w:val="000000"/>
          <w:sz w:val="28"/>
          <w:szCs w:val="28"/>
          <w:lang w:eastAsia="en-CA"/>
        </w:rPr>
        <w:t>Profitability Ratios</w:t>
      </w:r>
      <w:r w:rsidRPr="009F6E50">
        <w:rPr>
          <w:b/>
          <w:bCs/>
          <w:sz w:val="28"/>
          <w:szCs w:val="28"/>
        </w:rPr>
        <w:t xml:space="preserve"> </w:t>
      </w:r>
      <w:r w:rsidR="001C0FEB">
        <w:rPr>
          <w:b/>
          <w:bCs/>
          <w:sz w:val="28"/>
          <w:szCs w:val="28"/>
        </w:rPr>
        <w:fldChar w:fldCharType="begin"/>
      </w:r>
      <w:r w:rsidR="001C0FEB" w:rsidRPr="009F6E50">
        <w:rPr>
          <w:b/>
          <w:bCs/>
          <w:sz w:val="28"/>
          <w:szCs w:val="28"/>
        </w:rPr>
        <w:instrText xml:space="preserve"> LINK </w:instrText>
      </w:r>
      <w:r w:rsidR="00324A6B">
        <w:rPr>
          <w:b/>
          <w:bCs/>
          <w:sz w:val="28"/>
          <w:szCs w:val="28"/>
        </w:rPr>
        <w:instrText xml:space="preserve">Excel.Sheet.12 "C:\\Users\\SONY\\Downloads\\Financial Institutions' (1).xlsx" ratios!R3C1:R13C6 </w:instrText>
      </w:r>
      <w:r w:rsidR="001C0FEB" w:rsidRPr="009F6E50">
        <w:rPr>
          <w:b/>
          <w:bCs/>
          <w:sz w:val="28"/>
          <w:szCs w:val="28"/>
        </w:rPr>
        <w:instrText xml:space="preserve">\a \f 4 \h  \* MERGEFORMAT </w:instrText>
      </w:r>
      <w:r w:rsidR="00324A6B">
        <w:rPr>
          <w:b/>
          <w:bCs/>
          <w:sz w:val="28"/>
          <w:szCs w:val="28"/>
        </w:rPr>
        <w:fldChar w:fldCharType="separate"/>
      </w:r>
    </w:p>
    <w:tbl>
      <w:tblPr>
        <w:tblW w:w="10774" w:type="dxa"/>
        <w:tblInd w:w="-714" w:type="dxa"/>
        <w:tblLook w:val="04A0" w:firstRow="1" w:lastRow="0" w:firstColumn="1" w:lastColumn="0" w:noHBand="0" w:noVBand="1"/>
      </w:tblPr>
      <w:tblGrid>
        <w:gridCol w:w="4434"/>
        <w:gridCol w:w="1160"/>
        <w:gridCol w:w="1420"/>
        <w:gridCol w:w="1420"/>
        <w:gridCol w:w="1420"/>
        <w:gridCol w:w="920"/>
      </w:tblGrid>
      <w:tr w:rsidR="00324A6B" w:rsidRPr="00324A6B" w14:paraId="1365D3C7" w14:textId="77777777" w:rsidTr="00324A6B">
        <w:trPr>
          <w:divId w:val="409931323"/>
          <w:trHeight w:val="300"/>
        </w:trPr>
        <w:tc>
          <w:tcPr>
            <w:tcW w:w="443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79FEE1AE" w14:textId="57C48D8F" w:rsidR="00324A6B" w:rsidRPr="00324A6B" w:rsidRDefault="00324A6B" w:rsidP="00324A6B">
            <w:pPr>
              <w:spacing w:after="0" w:line="240" w:lineRule="auto"/>
              <w:rPr>
                <w:rFonts w:ascii="Calibri" w:eastAsia="Times New Roman" w:hAnsi="Calibri" w:cs="Calibri"/>
                <w:b/>
                <w:bCs/>
                <w:color w:val="000000"/>
                <w:lang w:eastAsia="en-CA"/>
              </w:rPr>
            </w:pPr>
            <w:r w:rsidRPr="00324A6B">
              <w:rPr>
                <w:rFonts w:ascii="Calibri" w:eastAsia="Times New Roman" w:hAnsi="Calibri" w:cs="Calibri"/>
                <w:b/>
                <w:bCs/>
                <w:color w:val="000000"/>
                <w:lang w:eastAsia="en-CA"/>
              </w:rPr>
              <w:t>Profitability Ratios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224C8B2"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18343181"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255BD75D"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F61D8C9"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7C6743A"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 </w:t>
            </w:r>
          </w:p>
        </w:tc>
      </w:tr>
      <w:tr w:rsidR="00324A6B" w:rsidRPr="00324A6B" w14:paraId="5868FC23" w14:textId="77777777" w:rsidTr="00324A6B">
        <w:trPr>
          <w:divId w:val="409931323"/>
          <w:trHeight w:val="300"/>
        </w:trPr>
        <w:tc>
          <w:tcPr>
            <w:tcW w:w="4434" w:type="dxa"/>
            <w:tcBorders>
              <w:top w:val="nil"/>
              <w:left w:val="single" w:sz="4" w:space="0" w:color="auto"/>
              <w:bottom w:val="single" w:sz="4" w:space="0" w:color="auto"/>
              <w:right w:val="single" w:sz="4" w:space="0" w:color="auto"/>
            </w:tcBorders>
            <w:shd w:val="clear" w:color="auto" w:fill="auto"/>
            <w:noWrap/>
            <w:vAlign w:val="bottom"/>
            <w:hideMark/>
          </w:tcPr>
          <w:p w14:paraId="447A32C3"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Net Markup / Interest income</w:t>
            </w:r>
          </w:p>
        </w:tc>
        <w:tc>
          <w:tcPr>
            <w:tcW w:w="1160" w:type="dxa"/>
            <w:tcBorders>
              <w:top w:val="nil"/>
              <w:left w:val="nil"/>
              <w:bottom w:val="single" w:sz="4" w:space="0" w:color="auto"/>
              <w:right w:val="single" w:sz="4" w:space="0" w:color="auto"/>
            </w:tcBorders>
            <w:shd w:val="clear" w:color="auto" w:fill="auto"/>
            <w:noWrap/>
            <w:vAlign w:val="bottom"/>
            <w:hideMark/>
          </w:tcPr>
          <w:p w14:paraId="1EFA48E5"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45587</w:t>
            </w:r>
          </w:p>
        </w:tc>
        <w:tc>
          <w:tcPr>
            <w:tcW w:w="1420" w:type="dxa"/>
            <w:tcBorders>
              <w:top w:val="nil"/>
              <w:left w:val="nil"/>
              <w:bottom w:val="single" w:sz="4" w:space="0" w:color="auto"/>
              <w:right w:val="single" w:sz="4" w:space="0" w:color="auto"/>
            </w:tcBorders>
            <w:shd w:val="clear" w:color="auto" w:fill="auto"/>
            <w:noWrap/>
            <w:vAlign w:val="bottom"/>
            <w:hideMark/>
          </w:tcPr>
          <w:p w14:paraId="02CB3BCF"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48421</w:t>
            </w:r>
          </w:p>
        </w:tc>
        <w:tc>
          <w:tcPr>
            <w:tcW w:w="1420" w:type="dxa"/>
            <w:tcBorders>
              <w:top w:val="nil"/>
              <w:left w:val="nil"/>
              <w:bottom w:val="single" w:sz="4" w:space="0" w:color="auto"/>
              <w:right w:val="single" w:sz="4" w:space="0" w:color="auto"/>
            </w:tcBorders>
            <w:shd w:val="clear" w:color="auto" w:fill="auto"/>
            <w:noWrap/>
            <w:vAlign w:val="bottom"/>
            <w:hideMark/>
          </w:tcPr>
          <w:p w14:paraId="49C213AB"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41507</w:t>
            </w:r>
          </w:p>
        </w:tc>
        <w:tc>
          <w:tcPr>
            <w:tcW w:w="1420" w:type="dxa"/>
            <w:tcBorders>
              <w:top w:val="nil"/>
              <w:left w:val="nil"/>
              <w:bottom w:val="single" w:sz="4" w:space="0" w:color="auto"/>
              <w:right w:val="single" w:sz="4" w:space="0" w:color="auto"/>
            </w:tcBorders>
            <w:shd w:val="clear" w:color="auto" w:fill="auto"/>
            <w:noWrap/>
            <w:vAlign w:val="bottom"/>
            <w:hideMark/>
          </w:tcPr>
          <w:p w14:paraId="35796C0E"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32115</w:t>
            </w:r>
          </w:p>
        </w:tc>
        <w:tc>
          <w:tcPr>
            <w:tcW w:w="920" w:type="dxa"/>
            <w:tcBorders>
              <w:top w:val="nil"/>
              <w:left w:val="nil"/>
              <w:bottom w:val="single" w:sz="4" w:space="0" w:color="auto"/>
              <w:right w:val="single" w:sz="4" w:space="0" w:color="auto"/>
            </w:tcBorders>
            <w:shd w:val="clear" w:color="auto" w:fill="auto"/>
            <w:noWrap/>
            <w:vAlign w:val="bottom"/>
            <w:hideMark/>
          </w:tcPr>
          <w:p w14:paraId="0E3312E8"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31578</w:t>
            </w:r>
          </w:p>
        </w:tc>
      </w:tr>
      <w:tr w:rsidR="00324A6B" w:rsidRPr="00324A6B" w14:paraId="77808716" w14:textId="77777777" w:rsidTr="00324A6B">
        <w:trPr>
          <w:divId w:val="409931323"/>
          <w:trHeight w:val="300"/>
        </w:trPr>
        <w:tc>
          <w:tcPr>
            <w:tcW w:w="4434" w:type="dxa"/>
            <w:tcBorders>
              <w:top w:val="nil"/>
              <w:left w:val="single" w:sz="4" w:space="0" w:color="auto"/>
              <w:bottom w:val="single" w:sz="4" w:space="0" w:color="auto"/>
              <w:right w:val="single" w:sz="4" w:space="0" w:color="auto"/>
            </w:tcBorders>
            <w:shd w:val="clear" w:color="auto" w:fill="auto"/>
            <w:noWrap/>
            <w:vAlign w:val="bottom"/>
            <w:hideMark/>
          </w:tcPr>
          <w:p w14:paraId="4E9DAAD9"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Net Markup / Interest margin Ratio</w:t>
            </w:r>
          </w:p>
        </w:tc>
        <w:tc>
          <w:tcPr>
            <w:tcW w:w="1160" w:type="dxa"/>
            <w:tcBorders>
              <w:top w:val="nil"/>
              <w:left w:val="nil"/>
              <w:bottom w:val="single" w:sz="4" w:space="0" w:color="auto"/>
              <w:right w:val="single" w:sz="4" w:space="0" w:color="auto"/>
            </w:tcBorders>
            <w:shd w:val="clear" w:color="auto" w:fill="auto"/>
            <w:noWrap/>
            <w:vAlign w:val="bottom"/>
            <w:hideMark/>
          </w:tcPr>
          <w:p w14:paraId="11B02266"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9.54</w:t>
            </w:r>
          </w:p>
        </w:tc>
        <w:tc>
          <w:tcPr>
            <w:tcW w:w="1420" w:type="dxa"/>
            <w:tcBorders>
              <w:top w:val="nil"/>
              <w:left w:val="nil"/>
              <w:bottom w:val="single" w:sz="4" w:space="0" w:color="auto"/>
              <w:right w:val="single" w:sz="4" w:space="0" w:color="auto"/>
            </w:tcBorders>
            <w:shd w:val="clear" w:color="auto" w:fill="auto"/>
            <w:noWrap/>
            <w:vAlign w:val="bottom"/>
            <w:hideMark/>
          </w:tcPr>
          <w:p w14:paraId="2D24552F"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10.86</w:t>
            </w:r>
          </w:p>
        </w:tc>
        <w:tc>
          <w:tcPr>
            <w:tcW w:w="1420" w:type="dxa"/>
            <w:tcBorders>
              <w:top w:val="nil"/>
              <w:left w:val="nil"/>
              <w:bottom w:val="single" w:sz="4" w:space="0" w:color="auto"/>
              <w:right w:val="single" w:sz="4" w:space="0" w:color="auto"/>
            </w:tcBorders>
            <w:shd w:val="clear" w:color="auto" w:fill="auto"/>
            <w:noWrap/>
            <w:vAlign w:val="bottom"/>
            <w:hideMark/>
          </w:tcPr>
          <w:p w14:paraId="65E4B367"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13.76</w:t>
            </w:r>
          </w:p>
        </w:tc>
        <w:tc>
          <w:tcPr>
            <w:tcW w:w="1420" w:type="dxa"/>
            <w:tcBorders>
              <w:top w:val="nil"/>
              <w:left w:val="nil"/>
              <w:bottom w:val="single" w:sz="4" w:space="0" w:color="auto"/>
              <w:right w:val="single" w:sz="4" w:space="0" w:color="auto"/>
            </w:tcBorders>
            <w:shd w:val="clear" w:color="auto" w:fill="auto"/>
            <w:noWrap/>
            <w:vAlign w:val="bottom"/>
            <w:hideMark/>
          </w:tcPr>
          <w:p w14:paraId="11C373A0"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8.47</w:t>
            </w:r>
          </w:p>
        </w:tc>
        <w:tc>
          <w:tcPr>
            <w:tcW w:w="920" w:type="dxa"/>
            <w:tcBorders>
              <w:top w:val="nil"/>
              <w:left w:val="nil"/>
              <w:bottom w:val="single" w:sz="4" w:space="0" w:color="auto"/>
              <w:right w:val="single" w:sz="4" w:space="0" w:color="auto"/>
            </w:tcBorders>
            <w:shd w:val="clear" w:color="auto" w:fill="auto"/>
            <w:noWrap/>
            <w:vAlign w:val="bottom"/>
            <w:hideMark/>
          </w:tcPr>
          <w:p w14:paraId="1237889C"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7.99</w:t>
            </w:r>
          </w:p>
        </w:tc>
      </w:tr>
      <w:tr w:rsidR="00324A6B" w:rsidRPr="00324A6B" w14:paraId="45BAB54C" w14:textId="77777777" w:rsidTr="00324A6B">
        <w:trPr>
          <w:divId w:val="409931323"/>
          <w:trHeight w:val="300"/>
        </w:trPr>
        <w:tc>
          <w:tcPr>
            <w:tcW w:w="4434" w:type="dxa"/>
            <w:tcBorders>
              <w:top w:val="nil"/>
              <w:left w:val="single" w:sz="4" w:space="0" w:color="auto"/>
              <w:bottom w:val="single" w:sz="4" w:space="0" w:color="auto"/>
              <w:right w:val="single" w:sz="4" w:space="0" w:color="auto"/>
            </w:tcBorders>
            <w:shd w:val="clear" w:color="auto" w:fill="auto"/>
            <w:noWrap/>
            <w:vAlign w:val="bottom"/>
            <w:hideMark/>
          </w:tcPr>
          <w:p w14:paraId="18CB3C99"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Return on Equity</w:t>
            </w:r>
          </w:p>
        </w:tc>
        <w:tc>
          <w:tcPr>
            <w:tcW w:w="1160" w:type="dxa"/>
            <w:tcBorders>
              <w:top w:val="nil"/>
              <w:left w:val="nil"/>
              <w:bottom w:val="single" w:sz="4" w:space="0" w:color="auto"/>
              <w:right w:val="single" w:sz="4" w:space="0" w:color="auto"/>
            </w:tcBorders>
            <w:shd w:val="clear" w:color="auto" w:fill="auto"/>
            <w:noWrap/>
            <w:vAlign w:val="bottom"/>
            <w:hideMark/>
          </w:tcPr>
          <w:p w14:paraId="47E078BF"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13.61%</w:t>
            </w:r>
          </w:p>
        </w:tc>
        <w:tc>
          <w:tcPr>
            <w:tcW w:w="1420" w:type="dxa"/>
            <w:tcBorders>
              <w:top w:val="nil"/>
              <w:left w:val="nil"/>
              <w:bottom w:val="single" w:sz="4" w:space="0" w:color="auto"/>
              <w:right w:val="single" w:sz="4" w:space="0" w:color="auto"/>
            </w:tcBorders>
            <w:shd w:val="clear" w:color="auto" w:fill="auto"/>
            <w:noWrap/>
            <w:vAlign w:val="bottom"/>
            <w:hideMark/>
          </w:tcPr>
          <w:p w14:paraId="098515F3"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13.70%</w:t>
            </w:r>
          </w:p>
        </w:tc>
        <w:tc>
          <w:tcPr>
            <w:tcW w:w="1420" w:type="dxa"/>
            <w:tcBorders>
              <w:top w:val="nil"/>
              <w:left w:val="nil"/>
              <w:bottom w:val="single" w:sz="4" w:space="0" w:color="auto"/>
              <w:right w:val="single" w:sz="4" w:space="0" w:color="auto"/>
            </w:tcBorders>
            <w:shd w:val="clear" w:color="auto" w:fill="auto"/>
            <w:noWrap/>
            <w:vAlign w:val="bottom"/>
            <w:hideMark/>
          </w:tcPr>
          <w:p w14:paraId="51A7C798"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12.23%</w:t>
            </w:r>
          </w:p>
        </w:tc>
        <w:tc>
          <w:tcPr>
            <w:tcW w:w="1420" w:type="dxa"/>
            <w:tcBorders>
              <w:top w:val="nil"/>
              <w:left w:val="nil"/>
              <w:bottom w:val="single" w:sz="4" w:space="0" w:color="auto"/>
              <w:right w:val="single" w:sz="4" w:space="0" w:color="auto"/>
            </w:tcBorders>
            <w:shd w:val="clear" w:color="auto" w:fill="auto"/>
            <w:noWrap/>
            <w:vAlign w:val="bottom"/>
            <w:hideMark/>
          </w:tcPr>
          <w:p w14:paraId="2CA0F487"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12.00%</w:t>
            </w:r>
          </w:p>
        </w:tc>
        <w:tc>
          <w:tcPr>
            <w:tcW w:w="920" w:type="dxa"/>
            <w:tcBorders>
              <w:top w:val="nil"/>
              <w:left w:val="nil"/>
              <w:bottom w:val="single" w:sz="4" w:space="0" w:color="auto"/>
              <w:right w:val="single" w:sz="4" w:space="0" w:color="auto"/>
            </w:tcBorders>
            <w:shd w:val="clear" w:color="auto" w:fill="auto"/>
            <w:noWrap/>
            <w:vAlign w:val="bottom"/>
            <w:hideMark/>
          </w:tcPr>
          <w:p w14:paraId="35D19E82"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11.93%</w:t>
            </w:r>
          </w:p>
        </w:tc>
      </w:tr>
      <w:tr w:rsidR="00324A6B" w:rsidRPr="00324A6B" w14:paraId="5FC4C1B8" w14:textId="77777777" w:rsidTr="00324A6B">
        <w:trPr>
          <w:divId w:val="409931323"/>
          <w:trHeight w:val="300"/>
        </w:trPr>
        <w:tc>
          <w:tcPr>
            <w:tcW w:w="4434" w:type="dxa"/>
            <w:tcBorders>
              <w:top w:val="nil"/>
              <w:left w:val="single" w:sz="4" w:space="0" w:color="auto"/>
              <w:bottom w:val="single" w:sz="4" w:space="0" w:color="auto"/>
              <w:right w:val="single" w:sz="4" w:space="0" w:color="auto"/>
            </w:tcBorders>
            <w:shd w:val="clear" w:color="auto" w:fill="auto"/>
            <w:noWrap/>
            <w:vAlign w:val="bottom"/>
            <w:hideMark/>
          </w:tcPr>
          <w:p w14:paraId="26C9F6CF"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Return on Assets</w:t>
            </w:r>
          </w:p>
        </w:tc>
        <w:tc>
          <w:tcPr>
            <w:tcW w:w="1160" w:type="dxa"/>
            <w:tcBorders>
              <w:top w:val="nil"/>
              <w:left w:val="nil"/>
              <w:bottom w:val="single" w:sz="4" w:space="0" w:color="auto"/>
              <w:right w:val="single" w:sz="4" w:space="0" w:color="auto"/>
            </w:tcBorders>
            <w:shd w:val="clear" w:color="auto" w:fill="auto"/>
            <w:noWrap/>
            <w:vAlign w:val="bottom"/>
            <w:hideMark/>
          </w:tcPr>
          <w:p w14:paraId="2D0E20A4"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0.86%</w:t>
            </w:r>
          </w:p>
        </w:tc>
        <w:tc>
          <w:tcPr>
            <w:tcW w:w="1420" w:type="dxa"/>
            <w:tcBorders>
              <w:top w:val="nil"/>
              <w:left w:val="nil"/>
              <w:bottom w:val="single" w:sz="4" w:space="0" w:color="auto"/>
              <w:right w:val="single" w:sz="4" w:space="0" w:color="auto"/>
            </w:tcBorders>
            <w:shd w:val="clear" w:color="auto" w:fill="auto"/>
            <w:noWrap/>
            <w:vAlign w:val="bottom"/>
            <w:hideMark/>
          </w:tcPr>
          <w:p w14:paraId="12070B53"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1.13%</w:t>
            </w:r>
          </w:p>
        </w:tc>
        <w:tc>
          <w:tcPr>
            <w:tcW w:w="1420" w:type="dxa"/>
            <w:tcBorders>
              <w:top w:val="nil"/>
              <w:left w:val="nil"/>
              <w:bottom w:val="single" w:sz="4" w:space="0" w:color="auto"/>
              <w:right w:val="single" w:sz="4" w:space="0" w:color="auto"/>
            </w:tcBorders>
            <w:shd w:val="clear" w:color="auto" w:fill="auto"/>
            <w:noWrap/>
            <w:vAlign w:val="bottom"/>
            <w:hideMark/>
          </w:tcPr>
          <w:p w14:paraId="334A172A"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0.95%</w:t>
            </w:r>
          </w:p>
        </w:tc>
        <w:tc>
          <w:tcPr>
            <w:tcW w:w="1420" w:type="dxa"/>
            <w:tcBorders>
              <w:top w:val="nil"/>
              <w:left w:val="nil"/>
              <w:bottom w:val="single" w:sz="4" w:space="0" w:color="auto"/>
              <w:right w:val="single" w:sz="4" w:space="0" w:color="auto"/>
            </w:tcBorders>
            <w:shd w:val="clear" w:color="auto" w:fill="auto"/>
            <w:noWrap/>
            <w:vAlign w:val="bottom"/>
            <w:hideMark/>
          </w:tcPr>
          <w:p w14:paraId="3C677FF3"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0.95%</w:t>
            </w:r>
          </w:p>
        </w:tc>
        <w:tc>
          <w:tcPr>
            <w:tcW w:w="920" w:type="dxa"/>
            <w:tcBorders>
              <w:top w:val="nil"/>
              <w:left w:val="nil"/>
              <w:bottom w:val="single" w:sz="4" w:space="0" w:color="auto"/>
              <w:right w:val="single" w:sz="4" w:space="0" w:color="auto"/>
            </w:tcBorders>
            <w:shd w:val="clear" w:color="auto" w:fill="auto"/>
            <w:noWrap/>
            <w:vAlign w:val="bottom"/>
            <w:hideMark/>
          </w:tcPr>
          <w:p w14:paraId="69A45103"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1.02%</w:t>
            </w:r>
          </w:p>
        </w:tc>
      </w:tr>
      <w:tr w:rsidR="00324A6B" w:rsidRPr="00324A6B" w14:paraId="7DD21FEE" w14:textId="77777777" w:rsidTr="00324A6B">
        <w:trPr>
          <w:divId w:val="409931323"/>
          <w:trHeight w:val="300"/>
        </w:trPr>
        <w:tc>
          <w:tcPr>
            <w:tcW w:w="4434" w:type="dxa"/>
            <w:tcBorders>
              <w:top w:val="nil"/>
              <w:left w:val="single" w:sz="4" w:space="0" w:color="auto"/>
              <w:bottom w:val="single" w:sz="4" w:space="0" w:color="auto"/>
              <w:right w:val="single" w:sz="4" w:space="0" w:color="auto"/>
            </w:tcBorders>
            <w:shd w:val="clear" w:color="auto" w:fill="auto"/>
            <w:noWrap/>
            <w:vAlign w:val="bottom"/>
            <w:hideMark/>
          </w:tcPr>
          <w:p w14:paraId="1A48A3AF" w14:textId="77777777" w:rsidR="00324A6B" w:rsidRPr="00324A6B" w:rsidRDefault="00324A6B" w:rsidP="00324A6B">
            <w:pPr>
              <w:spacing w:after="0" w:line="240" w:lineRule="auto"/>
              <w:rPr>
                <w:rFonts w:ascii="Calibri" w:eastAsia="Times New Roman" w:hAnsi="Calibri" w:cs="Calibri"/>
                <w:color w:val="000000"/>
                <w:lang w:val="en-US"/>
              </w:rPr>
            </w:pPr>
            <w:proofErr w:type="gramStart"/>
            <w:r w:rsidRPr="00324A6B">
              <w:rPr>
                <w:rFonts w:ascii="Calibri" w:eastAsia="Times New Roman" w:hAnsi="Calibri" w:cs="Calibri"/>
                <w:color w:val="000000"/>
                <w:lang w:eastAsia="en-CA"/>
              </w:rPr>
              <w:t>Non Interest</w:t>
            </w:r>
            <w:proofErr w:type="gramEnd"/>
            <w:r w:rsidRPr="00324A6B">
              <w:rPr>
                <w:rFonts w:ascii="Calibri" w:eastAsia="Times New Roman" w:hAnsi="Calibri" w:cs="Calibri"/>
                <w:color w:val="000000"/>
                <w:lang w:eastAsia="en-CA"/>
              </w:rPr>
              <w:t xml:space="preserve"> Income to Total Assets </w:t>
            </w:r>
            <w:r w:rsidRPr="00324A6B">
              <w:rPr>
                <w:rFonts w:ascii="Calibri" w:eastAsia="Times New Roman" w:hAnsi="Calibri" w:cs="Calibri"/>
                <w:color w:val="000000"/>
                <w:lang w:val="en-US"/>
              </w:rPr>
              <w:t>Ratio</w:t>
            </w:r>
          </w:p>
        </w:tc>
        <w:tc>
          <w:tcPr>
            <w:tcW w:w="1160" w:type="dxa"/>
            <w:tcBorders>
              <w:top w:val="nil"/>
              <w:left w:val="nil"/>
              <w:bottom w:val="single" w:sz="4" w:space="0" w:color="auto"/>
              <w:right w:val="single" w:sz="4" w:space="0" w:color="auto"/>
            </w:tcBorders>
            <w:shd w:val="clear" w:color="auto" w:fill="auto"/>
            <w:noWrap/>
            <w:vAlign w:val="bottom"/>
            <w:hideMark/>
          </w:tcPr>
          <w:p w14:paraId="6FBC435E"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0.79</w:t>
            </w:r>
          </w:p>
        </w:tc>
        <w:tc>
          <w:tcPr>
            <w:tcW w:w="1420" w:type="dxa"/>
            <w:tcBorders>
              <w:top w:val="nil"/>
              <w:left w:val="nil"/>
              <w:bottom w:val="single" w:sz="4" w:space="0" w:color="auto"/>
              <w:right w:val="single" w:sz="4" w:space="0" w:color="auto"/>
            </w:tcBorders>
            <w:shd w:val="clear" w:color="auto" w:fill="auto"/>
            <w:noWrap/>
            <w:vAlign w:val="bottom"/>
            <w:hideMark/>
          </w:tcPr>
          <w:p w14:paraId="24716257"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0.79</w:t>
            </w:r>
          </w:p>
        </w:tc>
        <w:tc>
          <w:tcPr>
            <w:tcW w:w="1420" w:type="dxa"/>
            <w:tcBorders>
              <w:top w:val="nil"/>
              <w:left w:val="nil"/>
              <w:bottom w:val="single" w:sz="4" w:space="0" w:color="auto"/>
              <w:right w:val="single" w:sz="4" w:space="0" w:color="auto"/>
            </w:tcBorders>
            <w:shd w:val="clear" w:color="auto" w:fill="auto"/>
            <w:noWrap/>
            <w:vAlign w:val="bottom"/>
            <w:hideMark/>
          </w:tcPr>
          <w:p w14:paraId="2CD65A61"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0.74</w:t>
            </w:r>
          </w:p>
        </w:tc>
        <w:tc>
          <w:tcPr>
            <w:tcW w:w="1420" w:type="dxa"/>
            <w:tcBorders>
              <w:top w:val="nil"/>
              <w:left w:val="nil"/>
              <w:bottom w:val="single" w:sz="4" w:space="0" w:color="auto"/>
              <w:right w:val="single" w:sz="4" w:space="0" w:color="auto"/>
            </w:tcBorders>
            <w:shd w:val="clear" w:color="auto" w:fill="auto"/>
            <w:noWrap/>
            <w:vAlign w:val="bottom"/>
            <w:hideMark/>
          </w:tcPr>
          <w:p w14:paraId="36560C9C"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0.84</w:t>
            </w:r>
          </w:p>
        </w:tc>
        <w:tc>
          <w:tcPr>
            <w:tcW w:w="920" w:type="dxa"/>
            <w:tcBorders>
              <w:top w:val="nil"/>
              <w:left w:val="nil"/>
              <w:bottom w:val="single" w:sz="4" w:space="0" w:color="auto"/>
              <w:right w:val="single" w:sz="4" w:space="0" w:color="auto"/>
            </w:tcBorders>
            <w:shd w:val="clear" w:color="auto" w:fill="auto"/>
            <w:noWrap/>
            <w:vAlign w:val="bottom"/>
            <w:hideMark/>
          </w:tcPr>
          <w:p w14:paraId="1E2EA08E"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0.70</w:t>
            </w:r>
          </w:p>
        </w:tc>
      </w:tr>
      <w:tr w:rsidR="00324A6B" w:rsidRPr="00324A6B" w14:paraId="6A836FA6" w14:textId="77777777" w:rsidTr="00324A6B">
        <w:trPr>
          <w:divId w:val="409931323"/>
          <w:trHeight w:val="300"/>
        </w:trPr>
        <w:tc>
          <w:tcPr>
            <w:tcW w:w="4434" w:type="dxa"/>
            <w:tcBorders>
              <w:top w:val="nil"/>
              <w:left w:val="single" w:sz="4" w:space="0" w:color="auto"/>
              <w:bottom w:val="single" w:sz="4" w:space="0" w:color="auto"/>
              <w:right w:val="single" w:sz="4" w:space="0" w:color="auto"/>
            </w:tcBorders>
            <w:shd w:val="clear" w:color="auto" w:fill="auto"/>
            <w:noWrap/>
            <w:vAlign w:val="bottom"/>
            <w:hideMark/>
          </w:tcPr>
          <w:p w14:paraId="011FDE15"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Net Interest Income after Provision to Total Assets</w:t>
            </w:r>
          </w:p>
        </w:tc>
        <w:tc>
          <w:tcPr>
            <w:tcW w:w="1160" w:type="dxa"/>
            <w:tcBorders>
              <w:top w:val="nil"/>
              <w:left w:val="nil"/>
              <w:bottom w:val="single" w:sz="4" w:space="0" w:color="auto"/>
              <w:right w:val="single" w:sz="4" w:space="0" w:color="auto"/>
            </w:tcBorders>
            <w:shd w:val="clear" w:color="auto" w:fill="auto"/>
            <w:noWrap/>
            <w:vAlign w:val="bottom"/>
            <w:hideMark/>
          </w:tcPr>
          <w:p w14:paraId="3E977F68"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2.27%</w:t>
            </w:r>
          </w:p>
        </w:tc>
        <w:tc>
          <w:tcPr>
            <w:tcW w:w="1420" w:type="dxa"/>
            <w:tcBorders>
              <w:top w:val="nil"/>
              <w:left w:val="nil"/>
              <w:bottom w:val="single" w:sz="4" w:space="0" w:color="auto"/>
              <w:right w:val="single" w:sz="4" w:space="0" w:color="auto"/>
            </w:tcBorders>
            <w:shd w:val="clear" w:color="auto" w:fill="auto"/>
            <w:noWrap/>
            <w:vAlign w:val="bottom"/>
            <w:hideMark/>
          </w:tcPr>
          <w:p w14:paraId="54FF7FF7"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3.04%</w:t>
            </w:r>
          </w:p>
        </w:tc>
        <w:tc>
          <w:tcPr>
            <w:tcW w:w="1420" w:type="dxa"/>
            <w:tcBorders>
              <w:top w:val="nil"/>
              <w:left w:val="nil"/>
              <w:bottom w:val="single" w:sz="4" w:space="0" w:color="auto"/>
              <w:right w:val="single" w:sz="4" w:space="0" w:color="auto"/>
            </w:tcBorders>
            <w:shd w:val="clear" w:color="auto" w:fill="auto"/>
            <w:noWrap/>
            <w:vAlign w:val="bottom"/>
            <w:hideMark/>
          </w:tcPr>
          <w:p w14:paraId="68DCFB19"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2.80%</w:t>
            </w:r>
          </w:p>
        </w:tc>
        <w:tc>
          <w:tcPr>
            <w:tcW w:w="1420" w:type="dxa"/>
            <w:tcBorders>
              <w:top w:val="nil"/>
              <w:left w:val="nil"/>
              <w:bottom w:val="single" w:sz="4" w:space="0" w:color="auto"/>
              <w:right w:val="single" w:sz="4" w:space="0" w:color="auto"/>
            </w:tcBorders>
            <w:shd w:val="clear" w:color="auto" w:fill="auto"/>
            <w:noWrap/>
            <w:vAlign w:val="bottom"/>
            <w:hideMark/>
          </w:tcPr>
          <w:p w14:paraId="0099DC28"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2.38%</w:t>
            </w:r>
          </w:p>
        </w:tc>
        <w:tc>
          <w:tcPr>
            <w:tcW w:w="920" w:type="dxa"/>
            <w:tcBorders>
              <w:top w:val="nil"/>
              <w:left w:val="nil"/>
              <w:bottom w:val="single" w:sz="4" w:space="0" w:color="auto"/>
              <w:right w:val="single" w:sz="4" w:space="0" w:color="auto"/>
            </w:tcBorders>
            <w:shd w:val="clear" w:color="auto" w:fill="auto"/>
            <w:noWrap/>
            <w:vAlign w:val="bottom"/>
            <w:hideMark/>
          </w:tcPr>
          <w:p w14:paraId="299F977D"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2.53%</w:t>
            </w:r>
          </w:p>
        </w:tc>
      </w:tr>
      <w:tr w:rsidR="00324A6B" w:rsidRPr="00324A6B" w14:paraId="569FB179" w14:textId="77777777" w:rsidTr="00324A6B">
        <w:trPr>
          <w:divId w:val="409931323"/>
          <w:trHeight w:val="300"/>
        </w:trPr>
        <w:tc>
          <w:tcPr>
            <w:tcW w:w="4434" w:type="dxa"/>
            <w:tcBorders>
              <w:top w:val="nil"/>
              <w:left w:val="single" w:sz="4" w:space="0" w:color="auto"/>
              <w:bottom w:val="single" w:sz="4" w:space="0" w:color="auto"/>
              <w:right w:val="single" w:sz="4" w:space="0" w:color="auto"/>
            </w:tcBorders>
            <w:shd w:val="clear" w:color="auto" w:fill="auto"/>
            <w:noWrap/>
            <w:vAlign w:val="bottom"/>
            <w:hideMark/>
          </w:tcPr>
          <w:p w14:paraId="4F5F2575"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Interest Ratio</w:t>
            </w:r>
          </w:p>
        </w:tc>
        <w:tc>
          <w:tcPr>
            <w:tcW w:w="1160" w:type="dxa"/>
            <w:tcBorders>
              <w:top w:val="nil"/>
              <w:left w:val="nil"/>
              <w:bottom w:val="single" w:sz="4" w:space="0" w:color="auto"/>
              <w:right w:val="single" w:sz="4" w:space="0" w:color="auto"/>
            </w:tcBorders>
            <w:shd w:val="clear" w:color="auto" w:fill="auto"/>
            <w:noWrap/>
            <w:vAlign w:val="bottom"/>
            <w:hideMark/>
          </w:tcPr>
          <w:p w14:paraId="102CDC1D"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61.58</w:t>
            </w:r>
          </w:p>
        </w:tc>
        <w:tc>
          <w:tcPr>
            <w:tcW w:w="1420" w:type="dxa"/>
            <w:tcBorders>
              <w:top w:val="nil"/>
              <w:left w:val="nil"/>
              <w:bottom w:val="single" w:sz="4" w:space="0" w:color="auto"/>
              <w:right w:val="single" w:sz="4" w:space="0" w:color="auto"/>
            </w:tcBorders>
            <w:shd w:val="clear" w:color="auto" w:fill="auto"/>
            <w:noWrap/>
            <w:vAlign w:val="bottom"/>
            <w:hideMark/>
          </w:tcPr>
          <w:p w14:paraId="2404F983"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56.20</w:t>
            </w:r>
          </w:p>
        </w:tc>
        <w:tc>
          <w:tcPr>
            <w:tcW w:w="1420" w:type="dxa"/>
            <w:tcBorders>
              <w:top w:val="nil"/>
              <w:left w:val="nil"/>
              <w:bottom w:val="single" w:sz="4" w:space="0" w:color="auto"/>
              <w:right w:val="single" w:sz="4" w:space="0" w:color="auto"/>
            </w:tcBorders>
            <w:shd w:val="clear" w:color="auto" w:fill="auto"/>
            <w:noWrap/>
            <w:vAlign w:val="bottom"/>
            <w:hideMark/>
          </w:tcPr>
          <w:p w14:paraId="6DE4DA2C"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66.15</w:t>
            </w:r>
          </w:p>
        </w:tc>
        <w:tc>
          <w:tcPr>
            <w:tcW w:w="1420" w:type="dxa"/>
            <w:tcBorders>
              <w:top w:val="nil"/>
              <w:left w:val="nil"/>
              <w:bottom w:val="single" w:sz="4" w:space="0" w:color="auto"/>
              <w:right w:val="single" w:sz="4" w:space="0" w:color="auto"/>
            </w:tcBorders>
            <w:shd w:val="clear" w:color="auto" w:fill="auto"/>
            <w:noWrap/>
            <w:vAlign w:val="bottom"/>
            <w:hideMark/>
          </w:tcPr>
          <w:p w14:paraId="7F92C40A"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56.17</w:t>
            </w:r>
          </w:p>
        </w:tc>
        <w:tc>
          <w:tcPr>
            <w:tcW w:w="920" w:type="dxa"/>
            <w:tcBorders>
              <w:top w:val="nil"/>
              <w:left w:val="nil"/>
              <w:bottom w:val="single" w:sz="4" w:space="0" w:color="auto"/>
              <w:right w:val="single" w:sz="4" w:space="0" w:color="auto"/>
            </w:tcBorders>
            <w:shd w:val="clear" w:color="auto" w:fill="auto"/>
            <w:noWrap/>
            <w:vAlign w:val="bottom"/>
            <w:hideMark/>
          </w:tcPr>
          <w:p w14:paraId="3C77AFCA"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51.94</w:t>
            </w:r>
          </w:p>
        </w:tc>
      </w:tr>
      <w:tr w:rsidR="00324A6B" w:rsidRPr="00324A6B" w14:paraId="0BECA1DB" w14:textId="77777777" w:rsidTr="00324A6B">
        <w:trPr>
          <w:divId w:val="409931323"/>
          <w:trHeight w:val="300"/>
        </w:trPr>
        <w:tc>
          <w:tcPr>
            <w:tcW w:w="4434" w:type="dxa"/>
            <w:tcBorders>
              <w:top w:val="nil"/>
              <w:left w:val="single" w:sz="4" w:space="0" w:color="auto"/>
              <w:bottom w:val="single" w:sz="4" w:space="0" w:color="auto"/>
              <w:right w:val="single" w:sz="4" w:space="0" w:color="auto"/>
            </w:tcBorders>
            <w:shd w:val="clear" w:color="auto" w:fill="auto"/>
            <w:noWrap/>
            <w:vAlign w:val="bottom"/>
            <w:hideMark/>
          </w:tcPr>
          <w:p w14:paraId="476847AC"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Operating Expenses to Profit Before Tax</w:t>
            </w:r>
          </w:p>
        </w:tc>
        <w:tc>
          <w:tcPr>
            <w:tcW w:w="1160" w:type="dxa"/>
            <w:tcBorders>
              <w:top w:val="nil"/>
              <w:left w:val="nil"/>
              <w:bottom w:val="single" w:sz="4" w:space="0" w:color="auto"/>
              <w:right w:val="single" w:sz="4" w:space="0" w:color="auto"/>
            </w:tcBorders>
            <w:shd w:val="clear" w:color="auto" w:fill="auto"/>
            <w:noWrap/>
            <w:vAlign w:val="bottom"/>
            <w:hideMark/>
          </w:tcPr>
          <w:p w14:paraId="06926DBA"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1.19</w:t>
            </w:r>
          </w:p>
        </w:tc>
        <w:tc>
          <w:tcPr>
            <w:tcW w:w="1420" w:type="dxa"/>
            <w:tcBorders>
              <w:top w:val="nil"/>
              <w:left w:val="nil"/>
              <w:bottom w:val="single" w:sz="4" w:space="0" w:color="auto"/>
              <w:right w:val="single" w:sz="4" w:space="0" w:color="auto"/>
            </w:tcBorders>
            <w:shd w:val="clear" w:color="auto" w:fill="auto"/>
            <w:noWrap/>
            <w:vAlign w:val="bottom"/>
            <w:hideMark/>
          </w:tcPr>
          <w:p w14:paraId="3A881CB0"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1.03</w:t>
            </w:r>
          </w:p>
        </w:tc>
        <w:tc>
          <w:tcPr>
            <w:tcW w:w="1420" w:type="dxa"/>
            <w:tcBorders>
              <w:top w:val="nil"/>
              <w:left w:val="nil"/>
              <w:bottom w:val="single" w:sz="4" w:space="0" w:color="auto"/>
              <w:right w:val="single" w:sz="4" w:space="0" w:color="auto"/>
            </w:tcBorders>
            <w:shd w:val="clear" w:color="auto" w:fill="auto"/>
            <w:noWrap/>
            <w:vAlign w:val="bottom"/>
            <w:hideMark/>
          </w:tcPr>
          <w:p w14:paraId="12C1548C"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1.14</w:t>
            </w:r>
          </w:p>
        </w:tc>
        <w:tc>
          <w:tcPr>
            <w:tcW w:w="1420" w:type="dxa"/>
            <w:tcBorders>
              <w:top w:val="nil"/>
              <w:left w:val="nil"/>
              <w:bottom w:val="single" w:sz="4" w:space="0" w:color="auto"/>
              <w:right w:val="single" w:sz="4" w:space="0" w:color="auto"/>
            </w:tcBorders>
            <w:shd w:val="clear" w:color="auto" w:fill="auto"/>
            <w:noWrap/>
            <w:vAlign w:val="bottom"/>
            <w:hideMark/>
          </w:tcPr>
          <w:p w14:paraId="1DD532B6"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1.11</w:t>
            </w:r>
          </w:p>
        </w:tc>
        <w:tc>
          <w:tcPr>
            <w:tcW w:w="920" w:type="dxa"/>
            <w:tcBorders>
              <w:top w:val="nil"/>
              <w:left w:val="nil"/>
              <w:bottom w:val="single" w:sz="4" w:space="0" w:color="auto"/>
              <w:right w:val="single" w:sz="4" w:space="0" w:color="auto"/>
            </w:tcBorders>
            <w:shd w:val="clear" w:color="auto" w:fill="auto"/>
            <w:noWrap/>
            <w:vAlign w:val="bottom"/>
            <w:hideMark/>
          </w:tcPr>
          <w:p w14:paraId="17073E45"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1.05</w:t>
            </w:r>
          </w:p>
        </w:tc>
      </w:tr>
      <w:tr w:rsidR="00324A6B" w:rsidRPr="00324A6B" w14:paraId="1C0A6F6B" w14:textId="77777777" w:rsidTr="00324A6B">
        <w:trPr>
          <w:divId w:val="409931323"/>
          <w:trHeight w:val="300"/>
        </w:trPr>
        <w:tc>
          <w:tcPr>
            <w:tcW w:w="4434" w:type="dxa"/>
            <w:tcBorders>
              <w:top w:val="nil"/>
              <w:left w:val="single" w:sz="4" w:space="0" w:color="auto"/>
              <w:bottom w:val="single" w:sz="4" w:space="0" w:color="auto"/>
              <w:right w:val="single" w:sz="4" w:space="0" w:color="auto"/>
            </w:tcBorders>
            <w:shd w:val="clear" w:color="auto" w:fill="auto"/>
            <w:noWrap/>
            <w:vAlign w:val="bottom"/>
            <w:hideMark/>
          </w:tcPr>
          <w:p w14:paraId="1009F84C"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Non-Interest Expenses to Total Income</w:t>
            </w:r>
          </w:p>
        </w:tc>
        <w:tc>
          <w:tcPr>
            <w:tcW w:w="1160" w:type="dxa"/>
            <w:tcBorders>
              <w:top w:val="nil"/>
              <w:left w:val="nil"/>
              <w:bottom w:val="single" w:sz="4" w:space="0" w:color="auto"/>
              <w:right w:val="single" w:sz="4" w:space="0" w:color="auto"/>
            </w:tcBorders>
            <w:shd w:val="clear" w:color="auto" w:fill="auto"/>
            <w:noWrap/>
            <w:vAlign w:val="bottom"/>
            <w:hideMark/>
          </w:tcPr>
          <w:p w14:paraId="698735C0"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0.26</w:t>
            </w:r>
          </w:p>
        </w:tc>
        <w:tc>
          <w:tcPr>
            <w:tcW w:w="1420" w:type="dxa"/>
            <w:tcBorders>
              <w:top w:val="nil"/>
              <w:left w:val="nil"/>
              <w:bottom w:val="single" w:sz="4" w:space="0" w:color="auto"/>
              <w:right w:val="single" w:sz="4" w:space="0" w:color="auto"/>
            </w:tcBorders>
            <w:shd w:val="clear" w:color="auto" w:fill="auto"/>
            <w:noWrap/>
            <w:vAlign w:val="bottom"/>
            <w:hideMark/>
          </w:tcPr>
          <w:p w14:paraId="03260528"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0.21</w:t>
            </w:r>
          </w:p>
        </w:tc>
        <w:tc>
          <w:tcPr>
            <w:tcW w:w="1420" w:type="dxa"/>
            <w:tcBorders>
              <w:top w:val="nil"/>
              <w:left w:val="nil"/>
              <w:bottom w:val="single" w:sz="4" w:space="0" w:color="auto"/>
              <w:right w:val="single" w:sz="4" w:space="0" w:color="auto"/>
            </w:tcBorders>
            <w:shd w:val="clear" w:color="auto" w:fill="auto"/>
            <w:noWrap/>
            <w:vAlign w:val="bottom"/>
            <w:hideMark/>
          </w:tcPr>
          <w:p w14:paraId="64A0936A"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0.21</w:t>
            </w:r>
          </w:p>
        </w:tc>
        <w:tc>
          <w:tcPr>
            <w:tcW w:w="1420" w:type="dxa"/>
            <w:tcBorders>
              <w:top w:val="nil"/>
              <w:left w:val="nil"/>
              <w:bottom w:val="single" w:sz="4" w:space="0" w:color="auto"/>
              <w:right w:val="single" w:sz="4" w:space="0" w:color="auto"/>
            </w:tcBorders>
            <w:shd w:val="clear" w:color="auto" w:fill="auto"/>
            <w:noWrap/>
            <w:vAlign w:val="bottom"/>
            <w:hideMark/>
          </w:tcPr>
          <w:p w14:paraId="7F443913"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0.26</w:t>
            </w:r>
          </w:p>
        </w:tc>
        <w:tc>
          <w:tcPr>
            <w:tcW w:w="920" w:type="dxa"/>
            <w:tcBorders>
              <w:top w:val="nil"/>
              <w:left w:val="nil"/>
              <w:bottom w:val="single" w:sz="4" w:space="0" w:color="auto"/>
              <w:right w:val="single" w:sz="4" w:space="0" w:color="auto"/>
            </w:tcBorders>
            <w:shd w:val="clear" w:color="auto" w:fill="auto"/>
            <w:noWrap/>
            <w:vAlign w:val="bottom"/>
            <w:hideMark/>
          </w:tcPr>
          <w:p w14:paraId="774E9080"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0.22</w:t>
            </w:r>
          </w:p>
        </w:tc>
      </w:tr>
      <w:tr w:rsidR="00324A6B" w:rsidRPr="00324A6B" w14:paraId="3C7D1203" w14:textId="77777777" w:rsidTr="00324A6B">
        <w:trPr>
          <w:divId w:val="409931323"/>
          <w:trHeight w:val="70"/>
        </w:trPr>
        <w:tc>
          <w:tcPr>
            <w:tcW w:w="4434" w:type="dxa"/>
            <w:tcBorders>
              <w:top w:val="nil"/>
              <w:left w:val="single" w:sz="4" w:space="0" w:color="auto"/>
              <w:bottom w:val="single" w:sz="4" w:space="0" w:color="auto"/>
              <w:right w:val="single" w:sz="4" w:space="0" w:color="auto"/>
            </w:tcBorders>
            <w:shd w:val="clear" w:color="auto" w:fill="auto"/>
            <w:noWrap/>
            <w:vAlign w:val="bottom"/>
            <w:hideMark/>
          </w:tcPr>
          <w:p w14:paraId="57612B85"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Earnings per Share</w:t>
            </w:r>
          </w:p>
        </w:tc>
        <w:tc>
          <w:tcPr>
            <w:tcW w:w="1160" w:type="dxa"/>
            <w:tcBorders>
              <w:top w:val="nil"/>
              <w:left w:val="nil"/>
              <w:bottom w:val="single" w:sz="4" w:space="0" w:color="auto"/>
              <w:right w:val="single" w:sz="4" w:space="0" w:color="auto"/>
            </w:tcBorders>
            <w:shd w:val="clear" w:color="auto" w:fill="auto"/>
            <w:noWrap/>
            <w:vAlign w:val="bottom"/>
            <w:hideMark/>
          </w:tcPr>
          <w:p w14:paraId="45CF6A61"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15.12</w:t>
            </w:r>
          </w:p>
        </w:tc>
        <w:tc>
          <w:tcPr>
            <w:tcW w:w="1420" w:type="dxa"/>
            <w:tcBorders>
              <w:top w:val="nil"/>
              <w:left w:val="nil"/>
              <w:bottom w:val="single" w:sz="4" w:space="0" w:color="auto"/>
              <w:right w:val="single" w:sz="4" w:space="0" w:color="auto"/>
            </w:tcBorders>
            <w:shd w:val="clear" w:color="auto" w:fill="auto"/>
            <w:noWrap/>
            <w:vAlign w:val="bottom"/>
            <w:hideMark/>
          </w:tcPr>
          <w:p w14:paraId="4130D5A4"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15.75</w:t>
            </w:r>
          </w:p>
        </w:tc>
        <w:tc>
          <w:tcPr>
            <w:tcW w:w="1420" w:type="dxa"/>
            <w:tcBorders>
              <w:top w:val="nil"/>
              <w:left w:val="nil"/>
              <w:bottom w:val="single" w:sz="4" w:space="0" w:color="auto"/>
              <w:right w:val="single" w:sz="4" w:space="0" w:color="auto"/>
            </w:tcBorders>
            <w:shd w:val="clear" w:color="auto" w:fill="auto"/>
            <w:noWrap/>
            <w:vAlign w:val="bottom"/>
            <w:hideMark/>
          </w:tcPr>
          <w:p w14:paraId="0980DC95"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12.33</w:t>
            </w:r>
          </w:p>
        </w:tc>
        <w:tc>
          <w:tcPr>
            <w:tcW w:w="1420" w:type="dxa"/>
            <w:tcBorders>
              <w:top w:val="nil"/>
              <w:left w:val="nil"/>
              <w:bottom w:val="single" w:sz="4" w:space="0" w:color="auto"/>
              <w:right w:val="single" w:sz="4" w:space="0" w:color="auto"/>
            </w:tcBorders>
            <w:shd w:val="clear" w:color="auto" w:fill="auto"/>
            <w:noWrap/>
            <w:vAlign w:val="bottom"/>
            <w:hideMark/>
          </w:tcPr>
          <w:p w14:paraId="2F9AF81A"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11.25</w:t>
            </w:r>
          </w:p>
        </w:tc>
        <w:tc>
          <w:tcPr>
            <w:tcW w:w="920" w:type="dxa"/>
            <w:tcBorders>
              <w:top w:val="nil"/>
              <w:left w:val="nil"/>
              <w:bottom w:val="single" w:sz="4" w:space="0" w:color="auto"/>
              <w:right w:val="single" w:sz="4" w:space="0" w:color="auto"/>
            </w:tcBorders>
            <w:shd w:val="clear" w:color="auto" w:fill="auto"/>
            <w:noWrap/>
            <w:vAlign w:val="bottom"/>
            <w:hideMark/>
          </w:tcPr>
          <w:p w14:paraId="672CCB38"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11.12</w:t>
            </w:r>
          </w:p>
        </w:tc>
      </w:tr>
    </w:tbl>
    <w:p w14:paraId="08D86741" w14:textId="7BBEBCFE" w:rsidR="007A243D" w:rsidRDefault="001C0FEB" w:rsidP="009F6E50">
      <w:r>
        <w:fldChar w:fldCharType="end"/>
      </w:r>
    </w:p>
    <w:p w14:paraId="2C799A8E" w14:textId="77777777" w:rsidR="00D56767" w:rsidRPr="009F6E50" w:rsidRDefault="001C0FEB" w:rsidP="001C0FEB">
      <w:pPr>
        <w:pStyle w:val="ListParagraph"/>
        <w:numPr>
          <w:ilvl w:val="0"/>
          <w:numId w:val="1"/>
        </w:numPr>
        <w:rPr>
          <w:b/>
          <w:bCs/>
          <w:u w:val="single"/>
        </w:rPr>
      </w:pPr>
      <w:r w:rsidRPr="009F6E50">
        <w:rPr>
          <w:b/>
          <w:bCs/>
          <w:u w:val="single"/>
        </w:rPr>
        <w:t>Net Markup/Interest Income</w:t>
      </w:r>
    </w:p>
    <w:p w14:paraId="70FDD0C6" w14:textId="085A4819" w:rsidR="007A243D" w:rsidRDefault="007A243D" w:rsidP="00D56767">
      <w:r>
        <w:t xml:space="preserve">It is the amount of Net Markup/Interest Income earned by the bank. </w:t>
      </w:r>
      <w:r w:rsidR="006538C7">
        <w:t>It increased drastically after the COVID-19 pandemic which caused high inflation due to which interest rates became higher</w:t>
      </w:r>
      <w:r w:rsidR="009B5E00">
        <w:t xml:space="preserve"> through which banks gained high interest income.</w:t>
      </w:r>
    </w:p>
    <w:p w14:paraId="05527812" w14:textId="77777777" w:rsidR="001C0FEB" w:rsidRPr="009F6E50" w:rsidRDefault="001C0FEB" w:rsidP="001C0FEB">
      <w:pPr>
        <w:pStyle w:val="ListParagraph"/>
        <w:numPr>
          <w:ilvl w:val="0"/>
          <w:numId w:val="1"/>
        </w:numPr>
        <w:spacing w:after="0" w:line="240" w:lineRule="auto"/>
        <w:rPr>
          <w:rFonts w:ascii="Calibri" w:eastAsia="Times New Roman" w:hAnsi="Calibri" w:cs="Calibri"/>
          <w:b/>
          <w:bCs/>
          <w:color w:val="000000"/>
          <w:u w:val="single"/>
          <w:lang w:eastAsia="en-CA"/>
        </w:rPr>
      </w:pPr>
      <w:r w:rsidRPr="009F6E50">
        <w:rPr>
          <w:rFonts w:ascii="Calibri" w:eastAsia="Times New Roman" w:hAnsi="Calibri" w:cs="Calibri"/>
          <w:b/>
          <w:bCs/>
          <w:color w:val="000000"/>
          <w:u w:val="single"/>
          <w:lang w:eastAsia="en-CA"/>
        </w:rPr>
        <w:t>Net Markup / Interest margin Ratio</w:t>
      </w:r>
    </w:p>
    <w:p w14:paraId="1543E085" w14:textId="66B42405" w:rsidR="007A243D" w:rsidRDefault="007A243D" w:rsidP="007A243D">
      <w:r>
        <w:t>This ratio indicates the earning capacity through core banking business by utilizing all assets. Banks normally borrow from savers and lend to investors. It is the ratio between the difference of interest income and interest expense to total assets</w:t>
      </w:r>
      <w:r w:rsidR="009B5E00">
        <w:t>.</w:t>
      </w:r>
    </w:p>
    <w:p w14:paraId="3EE99FA6" w14:textId="7B757418" w:rsidR="007A243D" w:rsidRPr="009F6E50" w:rsidRDefault="001C0FEB" w:rsidP="001C0FEB">
      <w:pPr>
        <w:pStyle w:val="ListParagraph"/>
        <w:numPr>
          <w:ilvl w:val="0"/>
          <w:numId w:val="1"/>
        </w:numPr>
        <w:rPr>
          <w:b/>
          <w:bCs/>
          <w:u w:val="single"/>
        </w:rPr>
      </w:pPr>
      <w:r w:rsidRPr="009F6E50">
        <w:rPr>
          <w:rFonts w:ascii="Calibri" w:eastAsia="Times New Roman" w:hAnsi="Calibri" w:cs="Calibri"/>
          <w:b/>
          <w:bCs/>
          <w:color w:val="000000"/>
          <w:u w:val="single"/>
          <w:lang w:eastAsia="en-CA"/>
        </w:rPr>
        <w:t>Return on Equity</w:t>
      </w:r>
    </w:p>
    <w:p w14:paraId="239E73A1" w14:textId="686ADD2E" w:rsidR="007A243D" w:rsidRDefault="007A243D" w:rsidP="007A243D">
      <w:r>
        <w:t>This ratio expresses the return on shareholders’ equity. ROE is a direct measure of returns to the shareholders.  It is calculated as a percentage of the net profit after tax to total Shareholders’ equity.  It is also useful for whole financial sector.</w:t>
      </w:r>
      <w:r w:rsidR="009B5E00">
        <w:t xml:space="preserve"> ALLIED BANK’s ROE remained stable with some minor growths over the last five years.</w:t>
      </w:r>
    </w:p>
    <w:p w14:paraId="10C6B68A" w14:textId="5989211A" w:rsidR="007A243D" w:rsidRPr="009F6E50" w:rsidRDefault="001C0FEB" w:rsidP="001C0FEB">
      <w:pPr>
        <w:pStyle w:val="ListParagraph"/>
        <w:numPr>
          <w:ilvl w:val="0"/>
          <w:numId w:val="1"/>
        </w:numPr>
        <w:rPr>
          <w:b/>
          <w:bCs/>
          <w:u w:val="single"/>
        </w:rPr>
      </w:pPr>
      <w:r w:rsidRPr="009F6E50">
        <w:rPr>
          <w:rFonts w:ascii="Calibri" w:eastAsia="Times New Roman" w:hAnsi="Calibri" w:cs="Calibri"/>
          <w:b/>
          <w:bCs/>
          <w:color w:val="000000"/>
          <w:u w:val="single"/>
          <w:lang w:eastAsia="en-CA"/>
        </w:rPr>
        <w:t>Return on Assets</w:t>
      </w:r>
    </w:p>
    <w:p w14:paraId="325597D0" w14:textId="15D98A96" w:rsidR="007A243D" w:rsidRDefault="007A243D" w:rsidP="007A243D">
      <w:r>
        <w:t>This ratio expresses the capacity of earning profit by a bank on its total assets employed in the business. It is calculated as percentage of net profit after tax to total assets. It is useful for whole financial sector.</w:t>
      </w:r>
      <w:r w:rsidR="009B5E00">
        <w:t xml:space="preserve"> It remained more or less same till FY2020 but dropped by 0.3% in FY2021 which is not a big deal</w:t>
      </w:r>
      <w:r w:rsidR="00D8716C">
        <w:t>.</w:t>
      </w:r>
    </w:p>
    <w:p w14:paraId="18ADCB93" w14:textId="49F212E2" w:rsidR="007A243D" w:rsidRPr="009F6E50" w:rsidRDefault="001C0FEB" w:rsidP="001C0FEB">
      <w:pPr>
        <w:pStyle w:val="ListParagraph"/>
        <w:numPr>
          <w:ilvl w:val="0"/>
          <w:numId w:val="1"/>
        </w:numPr>
        <w:rPr>
          <w:b/>
          <w:bCs/>
          <w:u w:val="single"/>
        </w:rPr>
      </w:pPr>
      <w:r w:rsidRPr="009F6E50">
        <w:rPr>
          <w:rFonts w:ascii="Calibri" w:eastAsia="Times New Roman" w:hAnsi="Calibri" w:cs="Calibri"/>
          <w:b/>
          <w:bCs/>
          <w:color w:val="000000"/>
          <w:u w:val="single"/>
          <w:lang w:eastAsia="en-CA"/>
        </w:rPr>
        <w:t>Non-Interest Income to Total Assets Ratio</w:t>
      </w:r>
    </w:p>
    <w:p w14:paraId="5E67850A" w14:textId="4C94270E" w:rsidR="007A243D" w:rsidRDefault="007A243D" w:rsidP="007A243D">
      <w:r>
        <w:t xml:space="preserve">Ratio on incomes earned other than mark-up </w:t>
      </w:r>
      <w:r w:rsidR="009B5E00">
        <w:t>e.g.,</w:t>
      </w:r>
      <w:r>
        <w:t xml:space="preserve"> capital gains, commission, fee to total assets etc. This ratio expresses how much income is earned other than mark-up through other functions of the bank by employing total assets. </w:t>
      </w:r>
      <w:r w:rsidR="00D8716C">
        <w:t>After FY2017, it has been increased from 0.7 to almost 0.8 due to the boom in digitalization which opened more revenue streams for the bank.</w:t>
      </w:r>
    </w:p>
    <w:p w14:paraId="4467CB24" w14:textId="4C6ACAC6" w:rsidR="007A243D" w:rsidRPr="009F6E50" w:rsidRDefault="001C0FEB" w:rsidP="009F6E50">
      <w:pPr>
        <w:pStyle w:val="ListParagraph"/>
        <w:numPr>
          <w:ilvl w:val="0"/>
          <w:numId w:val="1"/>
        </w:numPr>
        <w:rPr>
          <w:b/>
          <w:bCs/>
          <w:u w:val="single"/>
        </w:rPr>
      </w:pPr>
      <w:r w:rsidRPr="009F6E50">
        <w:rPr>
          <w:rFonts w:ascii="Calibri" w:eastAsia="Times New Roman" w:hAnsi="Calibri" w:cs="Calibri"/>
          <w:b/>
          <w:bCs/>
          <w:color w:val="000000"/>
          <w:u w:val="single"/>
          <w:lang w:eastAsia="en-CA"/>
        </w:rPr>
        <w:lastRenderedPageBreak/>
        <w:t>Net Interest Income after Provision to Total Assets</w:t>
      </w:r>
    </w:p>
    <w:p w14:paraId="71481334" w14:textId="22716EE0" w:rsidR="007A243D" w:rsidRDefault="007A243D" w:rsidP="007A243D">
      <w:r>
        <w:t xml:space="preserve">This is the ratio between interests earned less provision to total assets. </w:t>
      </w:r>
      <w:r w:rsidR="00D8716C">
        <w:t xml:space="preserve">It peaked at 3.04% in FY2020 </w:t>
      </w:r>
      <w:r w:rsidR="00452DF4">
        <w:t>but decreased again in FY2021 because of the major increase in total assets of the bank.</w:t>
      </w:r>
    </w:p>
    <w:p w14:paraId="623B1B0D" w14:textId="77777777" w:rsidR="00D56767" w:rsidRPr="009F6E50" w:rsidRDefault="001C0FEB" w:rsidP="007A243D">
      <w:pPr>
        <w:pStyle w:val="ListParagraph"/>
        <w:numPr>
          <w:ilvl w:val="0"/>
          <w:numId w:val="1"/>
        </w:numPr>
        <w:rPr>
          <w:b/>
          <w:bCs/>
          <w:u w:val="single"/>
        </w:rPr>
      </w:pPr>
      <w:r w:rsidRPr="009F6E50">
        <w:rPr>
          <w:rFonts w:ascii="Calibri" w:eastAsia="Times New Roman" w:hAnsi="Calibri" w:cs="Calibri"/>
          <w:b/>
          <w:bCs/>
          <w:color w:val="000000"/>
          <w:u w:val="single"/>
          <w:lang w:eastAsia="en-CA"/>
        </w:rPr>
        <w:t>Interest Ratio</w:t>
      </w:r>
    </w:p>
    <w:p w14:paraId="33887972" w14:textId="44046722" w:rsidR="006A00DA" w:rsidRDefault="007A243D" w:rsidP="00D56767">
      <w:r>
        <w:t>This ratio expresses the payment of interest mainly to depositors. The lower the ratio, the less the company is burdened by debt expenses</w:t>
      </w:r>
      <w:r w:rsidR="006A00DA">
        <w:t>.</w:t>
      </w:r>
      <w:r w:rsidR="00452DF4">
        <w:t xml:space="preserve"> It increased from 52 to 66 during FY2017-19 and lying currently at 62 which is not a good indictor for the bank as it is the cost of fundings.</w:t>
      </w:r>
    </w:p>
    <w:p w14:paraId="7FE52705" w14:textId="20E793B6" w:rsidR="001C0FEB" w:rsidRPr="009F6E50" w:rsidRDefault="001C0FEB" w:rsidP="001C0FEB">
      <w:pPr>
        <w:pStyle w:val="ListParagraph"/>
        <w:numPr>
          <w:ilvl w:val="0"/>
          <w:numId w:val="1"/>
        </w:numPr>
        <w:rPr>
          <w:b/>
          <w:bCs/>
          <w:u w:val="single"/>
        </w:rPr>
      </w:pPr>
      <w:r w:rsidRPr="009F6E50">
        <w:rPr>
          <w:rFonts w:ascii="Calibri" w:eastAsia="Times New Roman" w:hAnsi="Calibri" w:cs="Calibri"/>
          <w:b/>
          <w:bCs/>
          <w:color w:val="000000"/>
          <w:u w:val="single"/>
          <w:lang w:eastAsia="en-CA"/>
        </w:rPr>
        <w:t>Operating Expenses to Profit Before Tax</w:t>
      </w:r>
    </w:p>
    <w:p w14:paraId="5C1BF75D" w14:textId="7888FBD6" w:rsidR="007A243D" w:rsidRDefault="007A243D" w:rsidP="007A243D">
      <w:r>
        <w:t>This ratio expresses the relationship between administrative expenses and profit before tax. It is useful for whole financial sector.</w:t>
      </w:r>
      <w:r w:rsidR="00452DF4">
        <w:t xml:space="preserve"> It has not moved much an</w:t>
      </w:r>
      <w:r w:rsidR="001C6054">
        <w:t>d</w:t>
      </w:r>
      <w:r w:rsidR="00452DF4">
        <w:t xml:space="preserve"> remained a</w:t>
      </w:r>
      <w:r w:rsidR="001C6054">
        <w:t>round 1. Increased in this ratio means less profit for the bank.</w:t>
      </w:r>
    </w:p>
    <w:p w14:paraId="37ED964F" w14:textId="611BDB0F" w:rsidR="007A243D" w:rsidRPr="009F6E50" w:rsidRDefault="001C0FEB" w:rsidP="001C0FEB">
      <w:pPr>
        <w:pStyle w:val="ListParagraph"/>
        <w:numPr>
          <w:ilvl w:val="0"/>
          <w:numId w:val="1"/>
        </w:numPr>
        <w:rPr>
          <w:b/>
          <w:bCs/>
          <w:u w:val="single"/>
        </w:rPr>
      </w:pPr>
      <w:r w:rsidRPr="009F6E50">
        <w:rPr>
          <w:rFonts w:ascii="Calibri" w:eastAsia="Times New Roman" w:hAnsi="Calibri" w:cs="Calibri"/>
          <w:b/>
          <w:bCs/>
          <w:color w:val="000000"/>
          <w:u w:val="single"/>
          <w:lang w:eastAsia="en-CA"/>
        </w:rPr>
        <w:t>Non-Interest Expenses to Total Income</w:t>
      </w:r>
    </w:p>
    <w:p w14:paraId="30AC2147" w14:textId="76351FE3" w:rsidR="007A243D" w:rsidRDefault="007A243D" w:rsidP="007A243D">
      <w:r>
        <w:t xml:space="preserve">The ratio expresses the percentage of non-interest expenses to total income which reflects efficiency of management in applying the banks’ resources. </w:t>
      </w:r>
      <w:r w:rsidR="001C6054">
        <w:t>No drastic changes in this ratio as well which means the bank is efficient in applying the bank’s resources.</w:t>
      </w:r>
    </w:p>
    <w:p w14:paraId="56856CB2" w14:textId="7CA43627" w:rsidR="007A243D" w:rsidRPr="009F6E50" w:rsidRDefault="001C0FEB" w:rsidP="001C0FEB">
      <w:pPr>
        <w:pStyle w:val="ListParagraph"/>
        <w:numPr>
          <w:ilvl w:val="0"/>
          <w:numId w:val="1"/>
        </w:numPr>
        <w:rPr>
          <w:b/>
          <w:bCs/>
          <w:u w:val="single"/>
        </w:rPr>
      </w:pPr>
      <w:r w:rsidRPr="009F6E50">
        <w:rPr>
          <w:rFonts w:ascii="Calibri" w:eastAsia="Times New Roman" w:hAnsi="Calibri" w:cs="Calibri"/>
          <w:b/>
          <w:bCs/>
          <w:color w:val="000000"/>
          <w:u w:val="single"/>
          <w:lang w:eastAsia="en-CA"/>
        </w:rPr>
        <w:t>Earnings per Share</w:t>
      </w:r>
    </w:p>
    <w:p w14:paraId="57A7C294" w14:textId="2A7EFAC5" w:rsidR="007A243D" w:rsidRDefault="007A243D" w:rsidP="007A243D">
      <w:r>
        <w:t>EPS is the ratio between net profit after tax to number of shares outstanding at the end of the year as shown in balance sheet and its relevant notes to accounts.</w:t>
      </w:r>
      <w:r w:rsidR="001C6054">
        <w:t xml:space="preserve"> Eps has been increased from 11.12 in FY2017 to 15.12 in FY2021 because of the higher interest rates in the country and more investments in T-bills </w:t>
      </w:r>
      <w:r w:rsidR="005820F8">
        <w:t>by the bank which gives them more profit with lesser risk.</w:t>
      </w:r>
    </w:p>
    <w:p w14:paraId="2609C094" w14:textId="77777777" w:rsidR="005343C2" w:rsidRDefault="005343C2" w:rsidP="007A243D"/>
    <w:p w14:paraId="540FE853" w14:textId="2D8EAF93" w:rsidR="00324A6B" w:rsidRPr="00324A6B" w:rsidRDefault="009F6E50" w:rsidP="00324A6B">
      <w:pPr>
        <w:pStyle w:val="ListParagraph"/>
        <w:numPr>
          <w:ilvl w:val="0"/>
          <w:numId w:val="8"/>
        </w:numPr>
        <w:rPr>
          <w:sz w:val="28"/>
          <w:szCs w:val="28"/>
        </w:rPr>
      </w:pPr>
      <w:r w:rsidRPr="009F6E50">
        <w:rPr>
          <w:rFonts w:ascii="Calibri" w:eastAsia="Times New Roman" w:hAnsi="Calibri" w:cs="Calibri"/>
          <w:b/>
          <w:bCs/>
          <w:color w:val="000000"/>
          <w:sz w:val="28"/>
          <w:szCs w:val="28"/>
          <w:lang w:eastAsia="en-CA"/>
        </w:rPr>
        <w:t>Liquidity Ratios</w:t>
      </w:r>
      <w:r w:rsidRPr="009F6E50">
        <w:rPr>
          <w:sz w:val="28"/>
          <w:szCs w:val="28"/>
        </w:rPr>
        <w:t xml:space="preserve"> </w:t>
      </w:r>
      <w:r w:rsidR="00D56767">
        <w:rPr>
          <w:sz w:val="28"/>
          <w:szCs w:val="28"/>
        </w:rPr>
        <w:fldChar w:fldCharType="begin"/>
      </w:r>
      <w:r w:rsidR="00D56767" w:rsidRPr="009F6E50">
        <w:rPr>
          <w:sz w:val="28"/>
          <w:szCs w:val="28"/>
        </w:rPr>
        <w:instrText xml:space="preserve"> LINK </w:instrText>
      </w:r>
      <w:r w:rsidR="00324A6B">
        <w:rPr>
          <w:sz w:val="28"/>
          <w:szCs w:val="28"/>
        </w:rPr>
        <w:instrText xml:space="preserve">Excel.Sheet.12 "C:\\Users\\SONY\\Downloads\\Financial Institutions' (1).xlsx" ratios!R15C1:R22C6 </w:instrText>
      </w:r>
      <w:r w:rsidR="00D56767" w:rsidRPr="009F6E50">
        <w:rPr>
          <w:sz w:val="28"/>
          <w:szCs w:val="28"/>
        </w:rPr>
        <w:instrText xml:space="preserve">\a \f 4 \h  \* MERGEFORMAT </w:instrText>
      </w:r>
      <w:r w:rsidR="00324A6B">
        <w:rPr>
          <w:sz w:val="28"/>
          <w:szCs w:val="28"/>
        </w:rPr>
        <w:fldChar w:fldCharType="separate"/>
      </w:r>
    </w:p>
    <w:tbl>
      <w:tblPr>
        <w:tblW w:w="11519" w:type="dxa"/>
        <w:tblInd w:w="-998" w:type="dxa"/>
        <w:tblLook w:val="04A0" w:firstRow="1" w:lastRow="0" w:firstColumn="1" w:lastColumn="0" w:noHBand="0" w:noVBand="1"/>
      </w:tblPr>
      <w:tblGrid>
        <w:gridCol w:w="5335"/>
        <w:gridCol w:w="1160"/>
        <w:gridCol w:w="1420"/>
        <w:gridCol w:w="1420"/>
        <w:gridCol w:w="1156"/>
        <w:gridCol w:w="1028"/>
      </w:tblGrid>
      <w:tr w:rsidR="00324A6B" w:rsidRPr="00324A6B" w14:paraId="17C42BCB" w14:textId="77777777" w:rsidTr="00324A6B">
        <w:trPr>
          <w:divId w:val="680279091"/>
          <w:trHeight w:val="300"/>
        </w:trPr>
        <w:tc>
          <w:tcPr>
            <w:tcW w:w="5335"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0F3BD4AE" w14:textId="074A9A58" w:rsidR="00324A6B" w:rsidRPr="00324A6B" w:rsidRDefault="00324A6B" w:rsidP="00324A6B">
            <w:pPr>
              <w:spacing w:after="0" w:line="240" w:lineRule="auto"/>
              <w:rPr>
                <w:rFonts w:ascii="Calibri" w:eastAsia="Times New Roman" w:hAnsi="Calibri" w:cs="Calibri"/>
                <w:b/>
                <w:bCs/>
                <w:color w:val="000000"/>
                <w:lang w:eastAsia="en-CA"/>
              </w:rPr>
            </w:pPr>
            <w:r w:rsidRPr="00324A6B">
              <w:rPr>
                <w:rFonts w:ascii="Calibri" w:eastAsia="Times New Roman" w:hAnsi="Calibri" w:cs="Calibri"/>
                <w:b/>
                <w:bCs/>
                <w:color w:val="000000"/>
                <w:lang w:eastAsia="en-CA"/>
              </w:rPr>
              <w:t>Liquidity Ratios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055ABF9A"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57526C1"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7A5C693D"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 </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463E5307"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600415C6"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 </w:t>
            </w:r>
          </w:p>
        </w:tc>
      </w:tr>
      <w:tr w:rsidR="00324A6B" w:rsidRPr="00324A6B" w14:paraId="6CE4B89D" w14:textId="77777777" w:rsidTr="00324A6B">
        <w:trPr>
          <w:divId w:val="680279091"/>
          <w:trHeight w:val="300"/>
        </w:trPr>
        <w:tc>
          <w:tcPr>
            <w:tcW w:w="5335" w:type="dxa"/>
            <w:tcBorders>
              <w:top w:val="nil"/>
              <w:left w:val="single" w:sz="4" w:space="0" w:color="auto"/>
              <w:bottom w:val="single" w:sz="4" w:space="0" w:color="auto"/>
              <w:right w:val="single" w:sz="4" w:space="0" w:color="auto"/>
            </w:tcBorders>
            <w:shd w:val="clear" w:color="auto" w:fill="auto"/>
            <w:noWrap/>
            <w:vAlign w:val="bottom"/>
            <w:hideMark/>
          </w:tcPr>
          <w:p w14:paraId="5BD0BC92"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cash and balances with banks to total assets</w:t>
            </w:r>
          </w:p>
        </w:tc>
        <w:tc>
          <w:tcPr>
            <w:tcW w:w="1160" w:type="dxa"/>
            <w:tcBorders>
              <w:top w:val="nil"/>
              <w:left w:val="nil"/>
              <w:bottom w:val="single" w:sz="4" w:space="0" w:color="auto"/>
              <w:right w:val="single" w:sz="4" w:space="0" w:color="auto"/>
            </w:tcBorders>
            <w:shd w:val="clear" w:color="auto" w:fill="auto"/>
            <w:noWrap/>
            <w:vAlign w:val="bottom"/>
            <w:hideMark/>
          </w:tcPr>
          <w:p w14:paraId="71DF2539"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6.23%</w:t>
            </w:r>
          </w:p>
        </w:tc>
        <w:tc>
          <w:tcPr>
            <w:tcW w:w="1420" w:type="dxa"/>
            <w:tcBorders>
              <w:top w:val="nil"/>
              <w:left w:val="nil"/>
              <w:bottom w:val="single" w:sz="4" w:space="0" w:color="auto"/>
              <w:right w:val="single" w:sz="4" w:space="0" w:color="auto"/>
            </w:tcBorders>
            <w:shd w:val="clear" w:color="auto" w:fill="auto"/>
            <w:noWrap/>
            <w:vAlign w:val="bottom"/>
            <w:hideMark/>
          </w:tcPr>
          <w:p w14:paraId="18A3E309"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8.53%</w:t>
            </w:r>
          </w:p>
        </w:tc>
        <w:tc>
          <w:tcPr>
            <w:tcW w:w="1420" w:type="dxa"/>
            <w:tcBorders>
              <w:top w:val="nil"/>
              <w:left w:val="nil"/>
              <w:bottom w:val="single" w:sz="4" w:space="0" w:color="auto"/>
              <w:right w:val="single" w:sz="4" w:space="0" w:color="auto"/>
            </w:tcBorders>
            <w:shd w:val="clear" w:color="auto" w:fill="auto"/>
            <w:noWrap/>
            <w:vAlign w:val="bottom"/>
            <w:hideMark/>
          </w:tcPr>
          <w:p w14:paraId="62499653"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8.14%</w:t>
            </w:r>
          </w:p>
        </w:tc>
        <w:tc>
          <w:tcPr>
            <w:tcW w:w="1156" w:type="dxa"/>
            <w:tcBorders>
              <w:top w:val="nil"/>
              <w:left w:val="nil"/>
              <w:bottom w:val="single" w:sz="4" w:space="0" w:color="auto"/>
              <w:right w:val="single" w:sz="4" w:space="0" w:color="auto"/>
            </w:tcBorders>
            <w:shd w:val="clear" w:color="auto" w:fill="auto"/>
            <w:noWrap/>
            <w:vAlign w:val="bottom"/>
            <w:hideMark/>
          </w:tcPr>
          <w:p w14:paraId="3C18E7FC"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7.53%</w:t>
            </w:r>
          </w:p>
        </w:tc>
        <w:tc>
          <w:tcPr>
            <w:tcW w:w="1028" w:type="dxa"/>
            <w:tcBorders>
              <w:top w:val="nil"/>
              <w:left w:val="nil"/>
              <w:bottom w:val="single" w:sz="4" w:space="0" w:color="auto"/>
              <w:right w:val="single" w:sz="4" w:space="0" w:color="auto"/>
            </w:tcBorders>
            <w:shd w:val="clear" w:color="auto" w:fill="auto"/>
            <w:noWrap/>
            <w:vAlign w:val="bottom"/>
            <w:hideMark/>
          </w:tcPr>
          <w:p w14:paraId="228895BA"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6.88%</w:t>
            </w:r>
          </w:p>
        </w:tc>
      </w:tr>
      <w:tr w:rsidR="00324A6B" w:rsidRPr="00324A6B" w14:paraId="79651D9A" w14:textId="77777777" w:rsidTr="00324A6B">
        <w:trPr>
          <w:divId w:val="680279091"/>
          <w:trHeight w:val="300"/>
        </w:trPr>
        <w:tc>
          <w:tcPr>
            <w:tcW w:w="5335" w:type="dxa"/>
            <w:tcBorders>
              <w:top w:val="nil"/>
              <w:left w:val="single" w:sz="4" w:space="0" w:color="auto"/>
              <w:bottom w:val="single" w:sz="4" w:space="0" w:color="auto"/>
              <w:right w:val="single" w:sz="4" w:space="0" w:color="auto"/>
            </w:tcBorders>
            <w:shd w:val="clear" w:color="auto" w:fill="auto"/>
            <w:noWrap/>
            <w:vAlign w:val="bottom"/>
            <w:hideMark/>
          </w:tcPr>
          <w:p w14:paraId="1D8B5A25"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investment and total assets</w:t>
            </w:r>
          </w:p>
        </w:tc>
        <w:tc>
          <w:tcPr>
            <w:tcW w:w="1160" w:type="dxa"/>
            <w:tcBorders>
              <w:top w:val="nil"/>
              <w:left w:val="nil"/>
              <w:bottom w:val="single" w:sz="4" w:space="0" w:color="auto"/>
              <w:right w:val="single" w:sz="4" w:space="0" w:color="auto"/>
            </w:tcBorders>
            <w:shd w:val="clear" w:color="auto" w:fill="auto"/>
            <w:noWrap/>
            <w:vAlign w:val="bottom"/>
            <w:hideMark/>
          </w:tcPr>
          <w:p w14:paraId="060E01B4"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53%</w:t>
            </w:r>
          </w:p>
        </w:tc>
        <w:tc>
          <w:tcPr>
            <w:tcW w:w="1420" w:type="dxa"/>
            <w:tcBorders>
              <w:top w:val="nil"/>
              <w:left w:val="nil"/>
              <w:bottom w:val="single" w:sz="4" w:space="0" w:color="auto"/>
              <w:right w:val="single" w:sz="4" w:space="0" w:color="auto"/>
            </w:tcBorders>
            <w:shd w:val="clear" w:color="auto" w:fill="auto"/>
            <w:noWrap/>
            <w:vAlign w:val="bottom"/>
            <w:hideMark/>
          </w:tcPr>
          <w:p w14:paraId="62641C12"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52%</w:t>
            </w:r>
          </w:p>
        </w:tc>
        <w:tc>
          <w:tcPr>
            <w:tcW w:w="1420" w:type="dxa"/>
            <w:tcBorders>
              <w:top w:val="nil"/>
              <w:left w:val="nil"/>
              <w:bottom w:val="single" w:sz="4" w:space="0" w:color="auto"/>
              <w:right w:val="single" w:sz="4" w:space="0" w:color="auto"/>
            </w:tcBorders>
            <w:shd w:val="clear" w:color="auto" w:fill="auto"/>
            <w:noWrap/>
            <w:vAlign w:val="bottom"/>
            <w:hideMark/>
          </w:tcPr>
          <w:p w14:paraId="3595DBE5"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51%</w:t>
            </w:r>
          </w:p>
        </w:tc>
        <w:tc>
          <w:tcPr>
            <w:tcW w:w="1156" w:type="dxa"/>
            <w:tcBorders>
              <w:top w:val="nil"/>
              <w:left w:val="nil"/>
              <w:bottom w:val="single" w:sz="4" w:space="0" w:color="auto"/>
              <w:right w:val="single" w:sz="4" w:space="0" w:color="auto"/>
            </w:tcBorders>
            <w:shd w:val="clear" w:color="auto" w:fill="auto"/>
            <w:noWrap/>
            <w:vAlign w:val="bottom"/>
            <w:hideMark/>
          </w:tcPr>
          <w:p w14:paraId="5121B59C"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50%</w:t>
            </w:r>
          </w:p>
        </w:tc>
        <w:tc>
          <w:tcPr>
            <w:tcW w:w="1028" w:type="dxa"/>
            <w:tcBorders>
              <w:top w:val="nil"/>
              <w:left w:val="nil"/>
              <w:bottom w:val="single" w:sz="4" w:space="0" w:color="auto"/>
              <w:right w:val="single" w:sz="4" w:space="0" w:color="auto"/>
            </w:tcBorders>
            <w:shd w:val="clear" w:color="auto" w:fill="auto"/>
            <w:noWrap/>
            <w:vAlign w:val="bottom"/>
            <w:hideMark/>
          </w:tcPr>
          <w:p w14:paraId="1540FE36"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56%</w:t>
            </w:r>
          </w:p>
        </w:tc>
      </w:tr>
      <w:tr w:rsidR="00324A6B" w:rsidRPr="00324A6B" w14:paraId="23210D84" w14:textId="77777777" w:rsidTr="00324A6B">
        <w:trPr>
          <w:divId w:val="680279091"/>
          <w:trHeight w:val="300"/>
        </w:trPr>
        <w:tc>
          <w:tcPr>
            <w:tcW w:w="5335" w:type="dxa"/>
            <w:tcBorders>
              <w:top w:val="nil"/>
              <w:left w:val="single" w:sz="4" w:space="0" w:color="auto"/>
              <w:bottom w:val="single" w:sz="4" w:space="0" w:color="auto"/>
              <w:right w:val="single" w:sz="4" w:space="0" w:color="auto"/>
            </w:tcBorders>
            <w:shd w:val="clear" w:color="auto" w:fill="auto"/>
            <w:noWrap/>
            <w:vAlign w:val="bottom"/>
            <w:hideMark/>
          </w:tcPr>
          <w:p w14:paraId="372DA1CB"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advances and total assets</w:t>
            </w:r>
          </w:p>
        </w:tc>
        <w:tc>
          <w:tcPr>
            <w:tcW w:w="1160" w:type="dxa"/>
            <w:tcBorders>
              <w:top w:val="nil"/>
              <w:left w:val="nil"/>
              <w:bottom w:val="single" w:sz="4" w:space="0" w:color="auto"/>
              <w:right w:val="single" w:sz="4" w:space="0" w:color="auto"/>
            </w:tcBorders>
            <w:shd w:val="clear" w:color="auto" w:fill="auto"/>
            <w:noWrap/>
            <w:vAlign w:val="bottom"/>
            <w:hideMark/>
          </w:tcPr>
          <w:p w14:paraId="6CA4C488"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0.33</w:t>
            </w:r>
          </w:p>
        </w:tc>
        <w:tc>
          <w:tcPr>
            <w:tcW w:w="1420" w:type="dxa"/>
            <w:tcBorders>
              <w:top w:val="nil"/>
              <w:left w:val="nil"/>
              <w:bottom w:val="single" w:sz="4" w:space="0" w:color="auto"/>
              <w:right w:val="single" w:sz="4" w:space="0" w:color="auto"/>
            </w:tcBorders>
            <w:shd w:val="clear" w:color="auto" w:fill="auto"/>
            <w:noWrap/>
            <w:vAlign w:val="bottom"/>
            <w:hideMark/>
          </w:tcPr>
          <w:p w14:paraId="081482CE"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0.32</w:t>
            </w:r>
          </w:p>
        </w:tc>
        <w:tc>
          <w:tcPr>
            <w:tcW w:w="1420" w:type="dxa"/>
            <w:tcBorders>
              <w:top w:val="nil"/>
              <w:left w:val="nil"/>
              <w:bottom w:val="single" w:sz="4" w:space="0" w:color="auto"/>
              <w:right w:val="single" w:sz="4" w:space="0" w:color="auto"/>
            </w:tcBorders>
            <w:shd w:val="clear" w:color="auto" w:fill="auto"/>
            <w:noWrap/>
            <w:vAlign w:val="bottom"/>
            <w:hideMark/>
          </w:tcPr>
          <w:p w14:paraId="15EAD3CF"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0.34</w:t>
            </w:r>
          </w:p>
        </w:tc>
        <w:tc>
          <w:tcPr>
            <w:tcW w:w="1156" w:type="dxa"/>
            <w:tcBorders>
              <w:top w:val="nil"/>
              <w:left w:val="nil"/>
              <w:bottom w:val="single" w:sz="4" w:space="0" w:color="auto"/>
              <w:right w:val="single" w:sz="4" w:space="0" w:color="auto"/>
            </w:tcBorders>
            <w:shd w:val="clear" w:color="auto" w:fill="auto"/>
            <w:noWrap/>
            <w:vAlign w:val="bottom"/>
            <w:hideMark/>
          </w:tcPr>
          <w:p w14:paraId="6CCC5DCD"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0.34</w:t>
            </w:r>
          </w:p>
        </w:tc>
        <w:tc>
          <w:tcPr>
            <w:tcW w:w="1028" w:type="dxa"/>
            <w:tcBorders>
              <w:top w:val="nil"/>
              <w:left w:val="nil"/>
              <w:bottom w:val="single" w:sz="4" w:space="0" w:color="auto"/>
              <w:right w:val="single" w:sz="4" w:space="0" w:color="auto"/>
            </w:tcBorders>
            <w:shd w:val="clear" w:color="auto" w:fill="auto"/>
            <w:noWrap/>
            <w:vAlign w:val="bottom"/>
            <w:hideMark/>
          </w:tcPr>
          <w:p w14:paraId="773764C0"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0.31</w:t>
            </w:r>
          </w:p>
        </w:tc>
      </w:tr>
      <w:tr w:rsidR="00324A6B" w:rsidRPr="00324A6B" w14:paraId="549B35A0" w14:textId="77777777" w:rsidTr="00324A6B">
        <w:trPr>
          <w:divId w:val="680279091"/>
          <w:trHeight w:val="300"/>
        </w:trPr>
        <w:tc>
          <w:tcPr>
            <w:tcW w:w="5335" w:type="dxa"/>
            <w:tcBorders>
              <w:top w:val="nil"/>
              <w:left w:val="single" w:sz="4" w:space="0" w:color="auto"/>
              <w:bottom w:val="single" w:sz="4" w:space="0" w:color="auto"/>
              <w:right w:val="single" w:sz="4" w:space="0" w:color="auto"/>
            </w:tcBorders>
            <w:shd w:val="clear" w:color="auto" w:fill="auto"/>
            <w:noWrap/>
            <w:vAlign w:val="bottom"/>
            <w:hideMark/>
          </w:tcPr>
          <w:p w14:paraId="46104CDB"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advances to deposits ratio</w:t>
            </w:r>
          </w:p>
        </w:tc>
        <w:tc>
          <w:tcPr>
            <w:tcW w:w="1160" w:type="dxa"/>
            <w:tcBorders>
              <w:top w:val="nil"/>
              <w:left w:val="nil"/>
              <w:bottom w:val="single" w:sz="4" w:space="0" w:color="auto"/>
              <w:right w:val="single" w:sz="4" w:space="0" w:color="auto"/>
            </w:tcBorders>
            <w:shd w:val="clear" w:color="auto" w:fill="auto"/>
            <w:noWrap/>
            <w:vAlign w:val="bottom"/>
            <w:hideMark/>
          </w:tcPr>
          <w:p w14:paraId="7A614778"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0.47</w:t>
            </w:r>
          </w:p>
        </w:tc>
        <w:tc>
          <w:tcPr>
            <w:tcW w:w="1420" w:type="dxa"/>
            <w:tcBorders>
              <w:top w:val="nil"/>
              <w:left w:val="nil"/>
              <w:bottom w:val="single" w:sz="4" w:space="0" w:color="auto"/>
              <w:right w:val="single" w:sz="4" w:space="0" w:color="auto"/>
            </w:tcBorders>
            <w:shd w:val="clear" w:color="auto" w:fill="auto"/>
            <w:noWrap/>
            <w:vAlign w:val="bottom"/>
            <w:hideMark/>
          </w:tcPr>
          <w:p w14:paraId="00FFC59A"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0.42</w:t>
            </w:r>
          </w:p>
        </w:tc>
        <w:tc>
          <w:tcPr>
            <w:tcW w:w="1420" w:type="dxa"/>
            <w:tcBorders>
              <w:top w:val="nil"/>
              <w:left w:val="nil"/>
              <w:bottom w:val="single" w:sz="4" w:space="0" w:color="auto"/>
              <w:right w:val="single" w:sz="4" w:space="0" w:color="auto"/>
            </w:tcBorders>
            <w:shd w:val="clear" w:color="auto" w:fill="auto"/>
            <w:noWrap/>
            <w:vAlign w:val="bottom"/>
            <w:hideMark/>
          </w:tcPr>
          <w:p w14:paraId="6F4C53EC"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0.48</w:t>
            </w:r>
          </w:p>
        </w:tc>
        <w:tc>
          <w:tcPr>
            <w:tcW w:w="1156" w:type="dxa"/>
            <w:tcBorders>
              <w:top w:val="nil"/>
              <w:left w:val="nil"/>
              <w:bottom w:val="single" w:sz="4" w:space="0" w:color="auto"/>
              <w:right w:val="single" w:sz="4" w:space="0" w:color="auto"/>
            </w:tcBorders>
            <w:shd w:val="clear" w:color="auto" w:fill="auto"/>
            <w:noWrap/>
            <w:vAlign w:val="bottom"/>
            <w:hideMark/>
          </w:tcPr>
          <w:p w14:paraId="5E3C80AA"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0.46</w:t>
            </w:r>
          </w:p>
        </w:tc>
        <w:tc>
          <w:tcPr>
            <w:tcW w:w="1028" w:type="dxa"/>
            <w:tcBorders>
              <w:top w:val="nil"/>
              <w:left w:val="nil"/>
              <w:bottom w:val="single" w:sz="4" w:space="0" w:color="auto"/>
              <w:right w:val="single" w:sz="4" w:space="0" w:color="auto"/>
            </w:tcBorders>
            <w:shd w:val="clear" w:color="auto" w:fill="auto"/>
            <w:noWrap/>
            <w:vAlign w:val="bottom"/>
            <w:hideMark/>
          </w:tcPr>
          <w:p w14:paraId="5220EFC5"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0.44</w:t>
            </w:r>
          </w:p>
        </w:tc>
      </w:tr>
      <w:tr w:rsidR="00324A6B" w:rsidRPr="00324A6B" w14:paraId="0EF0D3E9" w14:textId="77777777" w:rsidTr="00324A6B">
        <w:trPr>
          <w:divId w:val="680279091"/>
          <w:trHeight w:val="300"/>
        </w:trPr>
        <w:tc>
          <w:tcPr>
            <w:tcW w:w="5335" w:type="dxa"/>
            <w:tcBorders>
              <w:top w:val="nil"/>
              <w:left w:val="single" w:sz="4" w:space="0" w:color="auto"/>
              <w:bottom w:val="single" w:sz="4" w:space="0" w:color="auto"/>
              <w:right w:val="single" w:sz="4" w:space="0" w:color="auto"/>
            </w:tcBorders>
            <w:shd w:val="clear" w:color="auto" w:fill="auto"/>
            <w:noWrap/>
            <w:vAlign w:val="bottom"/>
            <w:hideMark/>
          </w:tcPr>
          <w:p w14:paraId="61652BE4"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total deposit and other accounts to total assets</w:t>
            </w:r>
          </w:p>
        </w:tc>
        <w:tc>
          <w:tcPr>
            <w:tcW w:w="1160" w:type="dxa"/>
            <w:tcBorders>
              <w:top w:val="nil"/>
              <w:left w:val="nil"/>
              <w:bottom w:val="single" w:sz="4" w:space="0" w:color="auto"/>
              <w:right w:val="single" w:sz="4" w:space="0" w:color="auto"/>
            </w:tcBorders>
            <w:shd w:val="clear" w:color="auto" w:fill="auto"/>
            <w:noWrap/>
            <w:vAlign w:val="bottom"/>
            <w:hideMark/>
          </w:tcPr>
          <w:p w14:paraId="0151B1D5"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70%</w:t>
            </w:r>
          </w:p>
        </w:tc>
        <w:tc>
          <w:tcPr>
            <w:tcW w:w="1420" w:type="dxa"/>
            <w:tcBorders>
              <w:top w:val="nil"/>
              <w:left w:val="nil"/>
              <w:bottom w:val="single" w:sz="4" w:space="0" w:color="auto"/>
              <w:right w:val="single" w:sz="4" w:space="0" w:color="auto"/>
            </w:tcBorders>
            <w:shd w:val="clear" w:color="auto" w:fill="auto"/>
            <w:noWrap/>
            <w:vAlign w:val="bottom"/>
            <w:hideMark/>
          </w:tcPr>
          <w:p w14:paraId="361FF05A"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76%</w:t>
            </w:r>
          </w:p>
        </w:tc>
        <w:tc>
          <w:tcPr>
            <w:tcW w:w="1420" w:type="dxa"/>
            <w:tcBorders>
              <w:top w:val="nil"/>
              <w:left w:val="nil"/>
              <w:bottom w:val="single" w:sz="4" w:space="0" w:color="auto"/>
              <w:right w:val="single" w:sz="4" w:space="0" w:color="auto"/>
            </w:tcBorders>
            <w:shd w:val="clear" w:color="auto" w:fill="auto"/>
            <w:noWrap/>
            <w:vAlign w:val="bottom"/>
            <w:hideMark/>
          </w:tcPr>
          <w:p w14:paraId="02547A7A"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71%</w:t>
            </w:r>
          </w:p>
        </w:tc>
        <w:tc>
          <w:tcPr>
            <w:tcW w:w="1156" w:type="dxa"/>
            <w:tcBorders>
              <w:top w:val="nil"/>
              <w:left w:val="nil"/>
              <w:bottom w:val="single" w:sz="4" w:space="0" w:color="auto"/>
              <w:right w:val="single" w:sz="4" w:space="0" w:color="auto"/>
            </w:tcBorders>
            <w:shd w:val="clear" w:color="auto" w:fill="auto"/>
            <w:noWrap/>
            <w:vAlign w:val="bottom"/>
            <w:hideMark/>
          </w:tcPr>
          <w:p w14:paraId="7DEB47B9"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73%</w:t>
            </w:r>
          </w:p>
        </w:tc>
        <w:tc>
          <w:tcPr>
            <w:tcW w:w="1028" w:type="dxa"/>
            <w:tcBorders>
              <w:top w:val="nil"/>
              <w:left w:val="nil"/>
              <w:bottom w:val="single" w:sz="4" w:space="0" w:color="auto"/>
              <w:right w:val="single" w:sz="4" w:space="0" w:color="auto"/>
            </w:tcBorders>
            <w:shd w:val="clear" w:color="auto" w:fill="auto"/>
            <w:noWrap/>
            <w:vAlign w:val="bottom"/>
            <w:hideMark/>
          </w:tcPr>
          <w:p w14:paraId="462B8742"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71%</w:t>
            </w:r>
          </w:p>
        </w:tc>
      </w:tr>
      <w:tr w:rsidR="00324A6B" w:rsidRPr="00324A6B" w14:paraId="167F8837" w14:textId="77777777" w:rsidTr="00324A6B">
        <w:trPr>
          <w:divId w:val="680279091"/>
          <w:trHeight w:val="300"/>
        </w:trPr>
        <w:tc>
          <w:tcPr>
            <w:tcW w:w="5335" w:type="dxa"/>
            <w:tcBorders>
              <w:top w:val="nil"/>
              <w:left w:val="single" w:sz="4" w:space="0" w:color="auto"/>
              <w:bottom w:val="single" w:sz="4" w:space="0" w:color="auto"/>
              <w:right w:val="single" w:sz="4" w:space="0" w:color="auto"/>
            </w:tcBorders>
            <w:shd w:val="clear" w:color="auto" w:fill="auto"/>
            <w:noWrap/>
            <w:vAlign w:val="bottom"/>
            <w:hideMark/>
          </w:tcPr>
          <w:p w14:paraId="47FE3875"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total liabilities to total assets</w:t>
            </w:r>
          </w:p>
        </w:tc>
        <w:tc>
          <w:tcPr>
            <w:tcW w:w="1160" w:type="dxa"/>
            <w:tcBorders>
              <w:top w:val="nil"/>
              <w:left w:val="nil"/>
              <w:bottom w:val="single" w:sz="4" w:space="0" w:color="auto"/>
              <w:right w:val="single" w:sz="4" w:space="0" w:color="auto"/>
            </w:tcBorders>
            <w:shd w:val="clear" w:color="auto" w:fill="auto"/>
            <w:noWrap/>
            <w:vAlign w:val="bottom"/>
            <w:hideMark/>
          </w:tcPr>
          <w:p w14:paraId="7EC8BDC9"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6%</w:t>
            </w:r>
          </w:p>
        </w:tc>
        <w:tc>
          <w:tcPr>
            <w:tcW w:w="1420" w:type="dxa"/>
            <w:tcBorders>
              <w:top w:val="nil"/>
              <w:left w:val="nil"/>
              <w:bottom w:val="single" w:sz="4" w:space="0" w:color="auto"/>
              <w:right w:val="single" w:sz="4" w:space="0" w:color="auto"/>
            </w:tcBorders>
            <w:shd w:val="clear" w:color="auto" w:fill="auto"/>
            <w:noWrap/>
            <w:vAlign w:val="bottom"/>
            <w:hideMark/>
          </w:tcPr>
          <w:p w14:paraId="7625CDB0"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8%</w:t>
            </w:r>
          </w:p>
        </w:tc>
        <w:tc>
          <w:tcPr>
            <w:tcW w:w="1420" w:type="dxa"/>
            <w:tcBorders>
              <w:top w:val="nil"/>
              <w:left w:val="nil"/>
              <w:bottom w:val="single" w:sz="4" w:space="0" w:color="auto"/>
              <w:right w:val="single" w:sz="4" w:space="0" w:color="auto"/>
            </w:tcBorders>
            <w:shd w:val="clear" w:color="auto" w:fill="auto"/>
            <w:noWrap/>
            <w:vAlign w:val="bottom"/>
            <w:hideMark/>
          </w:tcPr>
          <w:p w14:paraId="2350DAF1"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8%</w:t>
            </w:r>
          </w:p>
        </w:tc>
        <w:tc>
          <w:tcPr>
            <w:tcW w:w="1156" w:type="dxa"/>
            <w:tcBorders>
              <w:top w:val="nil"/>
              <w:left w:val="nil"/>
              <w:bottom w:val="single" w:sz="4" w:space="0" w:color="auto"/>
              <w:right w:val="single" w:sz="4" w:space="0" w:color="auto"/>
            </w:tcBorders>
            <w:shd w:val="clear" w:color="auto" w:fill="auto"/>
            <w:noWrap/>
            <w:vAlign w:val="bottom"/>
            <w:hideMark/>
          </w:tcPr>
          <w:p w14:paraId="6FEC08B8"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8%</w:t>
            </w:r>
          </w:p>
        </w:tc>
        <w:tc>
          <w:tcPr>
            <w:tcW w:w="1028" w:type="dxa"/>
            <w:tcBorders>
              <w:top w:val="nil"/>
              <w:left w:val="nil"/>
              <w:bottom w:val="single" w:sz="4" w:space="0" w:color="auto"/>
              <w:right w:val="single" w:sz="4" w:space="0" w:color="auto"/>
            </w:tcBorders>
            <w:shd w:val="clear" w:color="auto" w:fill="auto"/>
            <w:noWrap/>
            <w:vAlign w:val="bottom"/>
            <w:hideMark/>
          </w:tcPr>
          <w:p w14:paraId="4D176B63"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9%</w:t>
            </w:r>
          </w:p>
        </w:tc>
      </w:tr>
      <w:tr w:rsidR="00324A6B" w:rsidRPr="00324A6B" w14:paraId="27150513" w14:textId="77777777" w:rsidTr="00324A6B">
        <w:trPr>
          <w:divId w:val="680279091"/>
          <w:trHeight w:val="300"/>
        </w:trPr>
        <w:tc>
          <w:tcPr>
            <w:tcW w:w="5335" w:type="dxa"/>
            <w:tcBorders>
              <w:top w:val="nil"/>
              <w:left w:val="single" w:sz="4" w:space="0" w:color="auto"/>
              <w:bottom w:val="single" w:sz="4" w:space="0" w:color="auto"/>
              <w:right w:val="single" w:sz="4" w:space="0" w:color="auto"/>
            </w:tcBorders>
            <w:shd w:val="clear" w:color="auto" w:fill="auto"/>
            <w:noWrap/>
            <w:vAlign w:val="bottom"/>
            <w:hideMark/>
          </w:tcPr>
          <w:p w14:paraId="359951E4" w14:textId="77777777" w:rsidR="00324A6B" w:rsidRPr="00324A6B" w:rsidRDefault="00324A6B" w:rsidP="00324A6B">
            <w:pPr>
              <w:spacing w:after="0" w:line="240" w:lineRule="auto"/>
              <w:rPr>
                <w:rFonts w:ascii="Calibri" w:eastAsia="Times New Roman" w:hAnsi="Calibri" w:cs="Calibri"/>
                <w:color w:val="000000"/>
                <w:lang w:eastAsia="en-CA"/>
              </w:rPr>
            </w:pPr>
            <w:r w:rsidRPr="00324A6B">
              <w:rPr>
                <w:rFonts w:ascii="Calibri" w:eastAsia="Times New Roman" w:hAnsi="Calibri" w:cs="Calibri"/>
                <w:color w:val="000000"/>
                <w:lang w:eastAsia="en-CA"/>
              </w:rPr>
              <w:t>gross advances to borrowing and deposits</w:t>
            </w:r>
          </w:p>
        </w:tc>
        <w:tc>
          <w:tcPr>
            <w:tcW w:w="1160" w:type="dxa"/>
            <w:tcBorders>
              <w:top w:val="nil"/>
              <w:left w:val="nil"/>
              <w:bottom w:val="single" w:sz="4" w:space="0" w:color="auto"/>
              <w:right w:val="single" w:sz="4" w:space="0" w:color="auto"/>
            </w:tcBorders>
            <w:shd w:val="clear" w:color="auto" w:fill="auto"/>
            <w:noWrap/>
            <w:vAlign w:val="bottom"/>
            <w:hideMark/>
          </w:tcPr>
          <w:p w14:paraId="55E75C3D"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0.36</w:t>
            </w:r>
          </w:p>
        </w:tc>
        <w:tc>
          <w:tcPr>
            <w:tcW w:w="1420" w:type="dxa"/>
            <w:tcBorders>
              <w:top w:val="nil"/>
              <w:left w:val="nil"/>
              <w:bottom w:val="single" w:sz="4" w:space="0" w:color="auto"/>
              <w:right w:val="single" w:sz="4" w:space="0" w:color="auto"/>
            </w:tcBorders>
            <w:shd w:val="clear" w:color="auto" w:fill="auto"/>
            <w:noWrap/>
            <w:vAlign w:val="bottom"/>
            <w:hideMark/>
          </w:tcPr>
          <w:p w14:paraId="27CA63C8"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0.36</w:t>
            </w:r>
          </w:p>
        </w:tc>
        <w:tc>
          <w:tcPr>
            <w:tcW w:w="1420" w:type="dxa"/>
            <w:tcBorders>
              <w:top w:val="nil"/>
              <w:left w:val="nil"/>
              <w:bottom w:val="single" w:sz="4" w:space="0" w:color="auto"/>
              <w:right w:val="single" w:sz="4" w:space="0" w:color="auto"/>
            </w:tcBorders>
            <w:shd w:val="clear" w:color="auto" w:fill="auto"/>
            <w:noWrap/>
            <w:vAlign w:val="bottom"/>
            <w:hideMark/>
          </w:tcPr>
          <w:p w14:paraId="1A62BE69"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0.38</w:t>
            </w:r>
          </w:p>
        </w:tc>
        <w:tc>
          <w:tcPr>
            <w:tcW w:w="1156" w:type="dxa"/>
            <w:tcBorders>
              <w:top w:val="nil"/>
              <w:left w:val="nil"/>
              <w:bottom w:val="single" w:sz="4" w:space="0" w:color="auto"/>
              <w:right w:val="single" w:sz="4" w:space="0" w:color="auto"/>
            </w:tcBorders>
            <w:shd w:val="clear" w:color="auto" w:fill="auto"/>
            <w:noWrap/>
            <w:vAlign w:val="bottom"/>
            <w:hideMark/>
          </w:tcPr>
          <w:p w14:paraId="592F71F3"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0.37</w:t>
            </w:r>
          </w:p>
        </w:tc>
        <w:tc>
          <w:tcPr>
            <w:tcW w:w="1028" w:type="dxa"/>
            <w:tcBorders>
              <w:top w:val="nil"/>
              <w:left w:val="nil"/>
              <w:bottom w:val="single" w:sz="4" w:space="0" w:color="auto"/>
              <w:right w:val="single" w:sz="4" w:space="0" w:color="auto"/>
            </w:tcBorders>
            <w:shd w:val="clear" w:color="auto" w:fill="auto"/>
            <w:noWrap/>
            <w:vAlign w:val="bottom"/>
            <w:hideMark/>
          </w:tcPr>
          <w:p w14:paraId="0C334CC6" w14:textId="77777777" w:rsidR="00324A6B" w:rsidRPr="00324A6B" w:rsidRDefault="00324A6B" w:rsidP="00324A6B">
            <w:pPr>
              <w:spacing w:after="0" w:line="240" w:lineRule="auto"/>
              <w:jc w:val="right"/>
              <w:rPr>
                <w:rFonts w:ascii="Calibri" w:eastAsia="Times New Roman" w:hAnsi="Calibri" w:cs="Calibri"/>
                <w:color w:val="000000"/>
                <w:lang w:eastAsia="en-CA"/>
              </w:rPr>
            </w:pPr>
            <w:r w:rsidRPr="00324A6B">
              <w:rPr>
                <w:rFonts w:ascii="Calibri" w:eastAsia="Times New Roman" w:hAnsi="Calibri" w:cs="Calibri"/>
                <w:color w:val="000000"/>
                <w:lang w:eastAsia="en-CA"/>
              </w:rPr>
              <w:t>0.35</w:t>
            </w:r>
          </w:p>
        </w:tc>
      </w:tr>
    </w:tbl>
    <w:p w14:paraId="2B678198" w14:textId="5E7D914A" w:rsidR="00D56767" w:rsidRDefault="00D56767" w:rsidP="007A243D">
      <w:r>
        <w:fldChar w:fldCharType="end"/>
      </w:r>
    </w:p>
    <w:p w14:paraId="3A83403B" w14:textId="77777777" w:rsidR="004056EE" w:rsidRPr="009F6E50" w:rsidRDefault="004056EE" w:rsidP="004056EE">
      <w:pPr>
        <w:pStyle w:val="ListParagraph"/>
        <w:numPr>
          <w:ilvl w:val="0"/>
          <w:numId w:val="1"/>
        </w:numPr>
        <w:spacing w:after="0" w:line="240" w:lineRule="auto"/>
        <w:rPr>
          <w:rFonts w:ascii="Calibri" w:eastAsia="Times New Roman" w:hAnsi="Calibri" w:cs="Calibri"/>
          <w:b/>
          <w:bCs/>
          <w:color w:val="000000"/>
          <w:u w:val="single"/>
          <w:lang w:eastAsia="en-CA"/>
        </w:rPr>
      </w:pPr>
      <w:r w:rsidRPr="009F6E50">
        <w:rPr>
          <w:rFonts w:ascii="Calibri" w:eastAsia="Times New Roman" w:hAnsi="Calibri" w:cs="Calibri"/>
          <w:b/>
          <w:bCs/>
          <w:color w:val="000000"/>
          <w:u w:val="single"/>
          <w:lang w:eastAsia="en-CA"/>
        </w:rPr>
        <w:t>cash and balances with banks to total assets</w:t>
      </w:r>
    </w:p>
    <w:p w14:paraId="4B071B7C" w14:textId="6AB64095" w:rsidR="00144575" w:rsidRDefault="007A243D" w:rsidP="007A243D">
      <w:r>
        <w:t>This ratio expresses the percentage of total assets available in the form of highly liquid assets.</w:t>
      </w:r>
      <w:r w:rsidR="00D35268">
        <w:t xml:space="preserve"> This ratio </w:t>
      </w:r>
      <w:r w:rsidR="00144575">
        <w:t>was increasing at a good pace till FY2020 but got decreased by 2% in the FY2021 because the ALLIED BANK has decreased its liabilities by 2% in the FY2021.</w:t>
      </w:r>
    </w:p>
    <w:p w14:paraId="3BC1E5ED" w14:textId="77777777" w:rsidR="006851DC" w:rsidRPr="006851DC" w:rsidRDefault="004056EE" w:rsidP="007A243D">
      <w:pPr>
        <w:pStyle w:val="ListParagraph"/>
        <w:numPr>
          <w:ilvl w:val="0"/>
          <w:numId w:val="1"/>
        </w:numPr>
        <w:rPr>
          <w:b/>
          <w:bCs/>
          <w:u w:val="single"/>
        </w:rPr>
      </w:pPr>
      <w:r w:rsidRPr="009F6E50">
        <w:rPr>
          <w:rFonts w:ascii="Calibri" w:eastAsia="Times New Roman" w:hAnsi="Calibri" w:cs="Calibri"/>
          <w:b/>
          <w:bCs/>
          <w:color w:val="000000"/>
          <w:u w:val="single"/>
          <w:lang w:eastAsia="en-CA"/>
        </w:rPr>
        <w:lastRenderedPageBreak/>
        <w:t>investment and total assets</w:t>
      </w:r>
    </w:p>
    <w:p w14:paraId="7C082052" w14:textId="6D0A3800" w:rsidR="007A243D" w:rsidRPr="006851DC" w:rsidRDefault="006851DC" w:rsidP="006851DC">
      <w:pPr>
        <w:rPr>
          <w:b/>
          <w:bCs/>
          <w:u w:val="single"/>
        </w:rPr>
      </w:pPr>
      <w:r>
        <w:t>This ratio</w:t>
      </w:r>
      <w:r w:rsidR="007A243D">
        <w:t xml:space="preserve"> indicates the portion of total assets used for investment in various avenues.</w:t>
      </w:r>
      <w:r>
        <w:t xml:space="preserve"> They have been constantly keeping it above 50% which is a good indicator.</w:t>
      </w:r>
      <w:r w:rsidR="007A243D">
        <w:t xml:space="preserve"> </w:t>
      </w:r>
    </w:p>
    <w:p w14:paraId="5ECCD862" w14:textId="4B98229D" w:rsidR="007A243D" w:rsidRPr="009F6E50" w:rsidRDefault="004056EE" w:rsidP="004056EE">
      <w:pPr>
        <w:pStyle w:val="ListParagraph"/>
        <w:numPr>
          <w:ilvl w:val="0"/>
          <w:numId w:val="1"/>
        </w:numPr>
        <w:rPr>
          <w:b/>
          <w:bCs/>
          <w:u w:val="single"/>
        </w:rPr>
      </w:pPr>
      <w:r w:rsidRPr="009F6E50">
        <w:rPr>
          <w:rFonts w:ascii="Calibri" w:eastAsia="Times New Roman" w:hAnsi="Calibri" w:cs="Calibri"/>
          <w:b/>
          <w:bCs/>
          <w:color w:val="000000"/>
          <w:u w:val="single"/>
          <w:lang w:eastAsia="en-CA"/>
        </w:rPr>
        <w:t>advances and total assets</w:t>
      </w:r>
    </w:p>
    <w:p w14:paraId="1A5CD2AC" w14:textId="760ADF15" w:rsidR="006851DC" w:rsidRDefault="007A243D" w:rsidP="007A243D">
      <w:r>
        <w:t xml:space="preserve">This ratio expresses the relationship of advances (net) to total assets. </w:t>
      </w:r>
      <w:r w:rsidR="006851DC">
        <w:t>No considerable movement in this ratio means the advances are being made carefully with low risk.</w:t>
      </w:r>
    </w:p>
    <w:p w14:paraId="5D5796FF" w14:textId="6B43818D" w:rsidR="007A243D" w:rsidRPr="009F6E50" w:rsidRDefault="004056EE" w:rsidP="004056EE">
      <w:pPr>
        <w:pStyle w:val="ListParagraph"/>
        <w:numPr>
          <w:ilvl w:val="0"/>
          <w:numId w:val="1"/>
        </w:numPr>
        <w:rPr>
          <w:b/>
          <w:bCs/>
          <w:u w:val="single"/>
        </w:rPr>
      </w:pPr>
      <w:r w:rsidRPr="009F6E50">
        <w:rPr>
          <w:rFonts w:ascii="Calibri" w:eastAsia="Times New Roman" w:hAnsi="Calibri" w:cs="Calibri"/>
          <w:b/>
          <w:bCs/>
          <w:color w:val="000000"/>
          <w:u w:val="single"/>
          <w:lang w:eastAsia="en-CA"/>
        </w:rPr>
        <w:t>advances to deposits ratio</w:t>
      </w:r>
    </w:p>
    <w:p w14:paraId="70E49517" w14:textId="76943FB3" w:rsidR="007A243D" w:rsidRDefault="007A243D" w:rsidP="007A243D">
      <w:r>
        <w:t>This ratio expresses the relationship of advances to total deposits</w:t>
      </w:r>
      <w:r w:rsidR="006A00DA">
        <w:t>.</w:t>
      </w:r>
      <w:r w:rsidR="00E74969">
        <w:t xml:space="preserve"> It increased from 0.44 to 0.48 in three years and then took a dip to 0.42 in FY2020 due to high interest rates but moved to 0.47 again in FY2021.</w:t>
      </w:r>
    </w:p>
    <w:p w14:paraId="45A5188E" w14:textId="77777777" w:rsidR="004056EE" w:rsidRPr="009F6E50" w:rsidRDefault="004056EE" w:rsidP="004056EE">
      <w:pPr>
        <w:pStyle w:val="ListParagraph"/>
        <w:numPr>
          <w:ilvl w:val="0"/>
          <w:numId w:val="1"/>
        </w:numPr>
        <w:spacing w:after="0" w:line="240" w:lineRule="auto"/>
        <w:rPr>
          <w:rFonts w:ascii="Calibri" w:eastAsia="Times New Roman" w:hAnsi="Calibri" w:cs="Calibri"/>
          <w:b/>
          <w:bCs/>
          <w:color w:val="000000"/>
          <w:u w:val="single"/>
          <w:lang w:eastAsia="en-CA"/>
        </w:rPr>
      </w:pPr>
      <w:r w:rsidRPr="009F6E50">
        <w:rPr>
          <w:rFonts w:ascii="Calibri" w:eastAsia="Times New Roman" w:hAnsi="Calibri" w:cs="Calibri"/>
          <w:b/>
          <w:bCs/>
          <w:color w:val="000000"/>
          <w:u w:val="single"/>
          <w:lang w:eastAsia="en-CA"/>
        </w:rPr>
        <w:t>total deposit and other accounts to total assets</w:t>
      </w:r>
    </w:p>
    <w:p w14:paraId="78DF5EF7" w14:textId="77777777" w:rsidR="006A00DA" w:rsidRDefault="006A00DA" w:rsidP="007A243D"/>
    <w:p w14:paraId="58958A62" w14:textId="14C4146A" w:rsidR="00E74969" w:rsidRDefault="007A243D" w:rsidP="007A243D">
      <w:r>
        <w:t>The ratio shows what percentage of total assets comprises total deposits and other accounts.</w:t>
      </w:r>
      <w:r w:rsidR="00E74969">
        <w:t xml:space="preserve"> This ratio remained stable till FY2019 but increased by 5% due to the high interest rates in FY2020. ALLIED BANK managed to </w:t>
      </w:r>
      <w:r w:rsidR="006538C7">
        <w:t xml:space="preserve">decrease </w:t>
      </w:r>
      <w:r w:rsidR="00E74969">
        <w:t>this ratio by 6% by increasing their total assets in FY2021.</w:t>
      </w:r>
    </w:p>
    <w:p w14:paraId="6F767E3B" w14:textId="00901E79" w:rsidR="007A243D" w:rsidRPr="009F6E50" w:rsidRDefault="004056EE" w:rsidP="004056EE">
      <w:pPr>
        <w:pStyle w:val="ListParagraph"/>
        <w:numPr>
          <w:ilvl w:val="0"/>
          <w:numId w:val="1"/>
        </w:numPr>
        <w:rPr>
          <w:b/>
          <w:bCs/>
          <w:u w:val="single"/>
        </w:rPr>
      </w:pPr>
      <w:r w:rsidRPr="009F6E50">
        <w:rPr>
          <w:rFonts w:ascii="Calibri" w:eastAsia="Times New Roman" w:hAnsi="Calibri" w:cs="Calibri"/>
          <w:b/>
          <w:bCs/>
          <w:color w:val="000000"/>
          <w:u w:val="single"/>
          <w:lang w:eastAsia="en-CA"/>
        </w:rPr>
        <w:t>total liabilities to total assets</w:t>
      </w:r>
    </w:p>
    <w:p w14:paraId="2FD592EC" w14:textId="6610F396" w:rsidR="007A243D" w:rsidRDefault="007A243D" w:rsidP="007A243D">
      <w:r>
        <w:t>The ratio shows the proportion of banks assets, which are financed through debt</w:t>
      </w:r>
      <w:r w:rsidR="00E74969">
        <w:t xml:space="preserve">. </w:t>
      </w:r>
      <w:r w:rsidR="006538C7">
        <w:t>It remained stable overall with a notable decrease of 2% in the current FY2021.</w:t>
      </w:r>
    </w:p>
    <w:p w14:paraId="2F723A62" w14:textId="358D69EA" w:rsidR="007A243D" w:rsidRPr="009F6E50" w:rsidRDefault="004056EE" w:rsidP="004056EE">
      <w:pPr>
        <w:pStyle w:val="ListParagraph"/>
        <w:numPr>
          <w:ilvl w:val="0"/>
          <w:numId w:val="1"/>
        </w:numPr>
        <w:rPr>
          <w:b/>
          <w:bCs/>
          <w:u w:val="single"/>
        </w:rPr>
      </w:pPr>
      <w:r w:rsidRPr="009F6E50">
        <w:rPr>
          <w:rFonts w:ascii="Calibri" w:eastAsia="Times New Roman" w:hAnsi="Calibri" w:cs="Calibri"/>
          <w:b/>
          <w:bCs/>
          <w:color w:val="000000"/>
          <w:u w:val="single"/>
          <w:lang w:eastAsia="en-CA"/>
        </w:rPr>
        <w:t>gross advances to borrowing and deposits</w:t>
      </w:r>
    </w:p>
    <w:p w14:paraId="4C36827D" w14:textId="04718CC1" w:rsidR="007A243D" w:rsidRDefault="007A243D" w:rsidP="007A243D">
      <w:r>
        <w:t xml:space="preserve">This ratio shows activity of a banking business as it reflects that advances are being made more/less than deposits. </w:t>
      </w:r>
      <w:r w:rsidR="006538C7">
        <w:t>On average 36% of borrowing and deposits are advances.</w:t>
      </w:r>
    </w:p>
    <w:p w14:paraId="75DFEA10" w14:textId="77777777" w:rsidR="005343C2" w:rsidRDefault="005343C2" w:rsidP="007A243D"/>
    <w:p w14:paraId="2962C025" w14:textId="4F1A203B" w:rsidR="009F6E50" w:rsidRPr="009F6E50" w:rsidRDefault="009F6E50" w:rsidP="009F6E50">
      <w:pPr>
        <w:pStyle w:val="ListParagraph"/>
        <w:numPr>
          <w:ilvl w:val="0"/>
          <w:numId w:val="8"/>
        </w:numPr>
        <w:rPr>
          <w:sz w:val="28"/>
          <w:szCs w:val="28"/>
        </w:rPr>
      </w:pPr>
      <w:r w:rsidRPr="009F6E50">
        <w:rPr>
          <w:rFonts w:ascii="Calibri" w:eastAsia="Times New Roman" w:hAnsi="Calibri" w:cs="Calibri"/>
          <w:b/>
          <w:bCs/>
          <w:color w:val="000000"/>
          <w:sz w:val="28"/>
          <w:szCs w:val="28"/>
          <w:lang w:eastAsia="en-CA"/>
        </w:rPr>
        <w:t>Assets Quality</w:t>
      </w:r>
    </w:p>
    <w:tbl>
      <w:tblPr>
        <w:tblW w:w="11780" w:type="dxa"/>
        <w:tblInd w:w="-1220" w:type="dxa"/>
        <w:tblLook w:val="04A0" w:firstRow="1" w:lastRow="0" w:firstColumn="1" w:lastColumn="0" w:noHBand="0" w:noVBand="1"/>
      </w:tblPr>
      <w:tblGrid>
        <w:gridCol w:w="4940"/>
        <w:gridCol w:w="1160"/>
        <w:gridCol w:w="1420"/>
        <w:gridCol w:w="1420"/>
        <w:gridCol w:w="1420"/>
        <w:gridCol w:w="1420"/>
      </w:tblGrid>
      <w:tr w:rsidR="004056EE" w:rsidRPr="004056EE" w14:paraId="34AE4160" w14:textId="77777777" w:rsidTr="004056EE">
        <w:trPr>
          <w:trHeight w:val="300"/>
        </w:trPr>
        <w:tc>
          <w:tcPr>
            <w:tcW w:w="494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3CD0EDD2" w14:textId="77777777" w:rsidR="004056EE" w:rsidRPr="004056EE" w:rsidRDefault="004056EE" w:rsidP="004056EE">
            <w:pPr>
              <w:spacing w:after="0" w:line="240" w:lineRule="auto"/>
              <w:rPr>
                <w:rFonts w:ascii="Calibri" w:eastAsia="Times New Roman" w:hAnsi="Calibri" w:cs="Calibri"/>
                <w:b/>
                <w:bCs/>
                <w:color w:val="000000"/>
                <w:lang w:eastAsia="en-CA"/>
              </w:rPr>
            </w:pPr>
            <w:r w:rsidRPr="004056EE">
              <w:rPr>
                <w:rFonts w:ascii="Calibri" w:eastAsia="Times New Roman" w:hAnsi="Calibri" w:cs="Calibri"/>
                <w:b/>
                <w:bCs/>
                <w:color w:val="000000"/>
                <w:lang w:eastAsia="en-CA"/>
              </w:rPr>
              <w:t>Assets Quality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6406DAD" w14:textId="087477D9"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 </w:t>
            </w:r>
            <w:r>
              <w:rPr>
                <w:rFonts w:ascii="Calibri" w:eastAsia="Times New Roman" w:hAnsi="Calibri" w:cs="Calibri"/>
                <w:color w:val="000000"/>
                <w:lang w:eastAsia="en-CA"/>
              </w:rPr>
              <w:t>2021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0BC5E43" w14:textId="5F525CAC" w:rsidR="004056EE" w:rsidRPr="004056EE" w:rsidRDefault="004056EE" w:rsidP="004056E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2020</w:t>
            </w:r>
            <w:r w:rsidRPr="004056EE">
              <w:rPr>
                <w:rFonts w:ascii="Calibri" w:eastAsia="Times New Roman" w:hAnsi="Calibri" w:cs="Calibri"/>
                <w:color w:val="000000"/>
                <w:lang w:eastAsia="en-CA"/>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35791711" w14:textId="208FBAA0" w:rsidR="004056EE" w:rsidRPr="004056EE" w:rsidRDefault="004056EE" w:rsidP="004056E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2019</w:t>
            </w:r>
            <w:r w:rsidRPr="004056EE">
              <w:rPr>
                <w:rFonts w:ascii="Calibri" w:eastAsia="Times New Roman" w:hAnsi="Calibri" w:cs="Calibri"/>
                <w:color w:val="000000"/>
                <w:lang w:eastAsia="en-CA"/>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176C225" w14:textId="63F2B70B" w:rsidR="004056EE" w:rsidRPr="004056EE" w:rsidRDefault="004056EE" w:rsidP="004056E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2018</w:t>
            </w:r>
            <w:r w:rsidRPr="004056EE">
              <w:rPr>
                <w:rFonts w:ascii="Calibri" w:eastAsia="Times New Roman" w:hAnsi="Calibri" w:cs="Calibri"/>
                <w:color w:val="000000"/>
                <w:lang w:eastAsia="en-CA"/>
              </w:rPr>
              <w:t>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402A62F" w14:textId="05819FC1" w:rsidR="004056EE" w:rsidRPr="004056EE" w:rsidRDefault="004056EE" w:rsidP="004056EE">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2017</w:t>
            </w:r>
            <w:r w:rsidRPr="004056EE">
              <w:rPr>
                <w:rFonts w:ascii="Calibri" w:eastAsia="Times New Roman" w:hAnsi="Calibri" w:cs="Calibri"/>
                <w:color w:val="000000"/>
                <w:lang w:eastAsia="en-CA"/>
              </w:rPr>
              <w:t> </w:t>
            </w:r>
          </w:p>
        </w:tc>
      </w:tr>
      <w:tr w:rsidR="004056EE" w:rsidRPr="004056EE" w14:paraId="6B40EF88" w14:textId="77777777" w:rsidTr="004056EE">
        <w:trPr>
          <w:trHeight w:val="300"/>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14:paraId="1C0EDF30" w14:textId="77777777"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NPLs to Gross Advances</w:t>
            </w:r>
          </w:p>
        </w:tc>
        <w:tc>
          <w:tcPr>
            <w:tcW w:w="1160" w:type="dxa"/>
            <w:tcBorders>
              <w:top w:val="nil"/>
              <w:left w:val="nil"/>
              <w:bottom w:val="single" w:sz="4" w:space="0" w:color="auto"/>
              <w:right w:val="single" w:sz="4" w:space="0" w:color="auto"/>
            </w:tcBorders>
            <w:shd w:val="clear" w:color="auto" w:fill="auto"/>
            <w:noWrap/>
            <w:vAlign w:val="bottom"/>
            <w:hideMark/>
          </w:tcPr>
          <w:p w14:paraId="0194E9B7"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0.02</w:t>
            </w:r>
          </w:p>
        </w:tc>
        <w:tc>
          <w:tcPr>
            <w:tcW w:w="1420" w:type="dxa"/>
            <w:tcBorders>
              <w:top w:val="nil"/>
              <w:left w:val="nil"/>
              <w:bottom w:val="single" w:sz="4" w:space="0" w:color="auto"/>
              <w:right w:val="single" w:sz="4" w:space="0" w:color="auto"/>
            </w:tcBorders>
            <w:shd w:val="clear" w:color="auto" w:fill="auto"/>
            <w:noWrap/>
            <w:vAlign w:val="bottom"/>
            <w:hideMark/>
          </w:tcPr>
          <w:p w14:paraId="48D6CA93"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0.03</w:t>
            </w:r>
          </w:p>
        </w:tc>
        <w:tc>
          <w:tcPr>
            <w:tcW w:w="1420" w:type="dxa"/>
            <w:tcBorders>
              <w:top w:val="nil"/>
              <w:left w:val="nil"/>
              <w:bottom w:val="single" w:sz="4" w:space="0" w:color="auto"/>
              <w:right w:val="single" w:sz="4" w:space="0" w:color="auto"/>
            </w:tcBorders>
            <w:shd w:val="clear" w:color="auto" w:fill="auto"/>
            <w:noWrap/>
            <w:vAlign w:val="bottom"/>
            <w:hideMark/>
          </w:tcPr>
          <w:p w14:paraId="732652FA"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0.03</w:t>
            </w:r>
          </w:p>
        </w:tc>
        <w:tc>
          <w:tcPr>
            <w:tcW w:w="1420" w:type="dxa"/>
            <w:tcBorders>
              <w:top w:val="nil"/>
              <w:left w:val="nil"/>
              <w:bottom w:val="single" w:sz="4" w:space="0" w:color="auto"/>
              <w:right w:val="single" w:sz="4" w:space="0" w:color="auto"/>
            </w:tcBorders>
            <w:shd w:val="clear" w:color="auto" w:fill="auto"/>
            <w:noWrap/>
            <w:vAlign w:val="bottom"/>
            <w:hideMark/>
          </w:tcPr>
          <w:p w14:paraId="204A2381"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0.04</w:t>
            </w:r>
          </w:p>
        </w:tc>
        <w:tc>
          <w:tcPr>
            <w:tcW w:w="1420" w:type="dxa"/>
            <w:tcBorders>
              <w:top w:val="nil"/>
              <w:left w:val="nil"/>
              <w:bottom w:val="single" w:sz="4" w:space="0" w:color="auto"/>
              <w:right w:val="single" w:sz="4" w:space="0" w:color="auto"/>
            </w:tcBorders>
            <w:shd w:val="clear" w:color="auto" w:fill="auto"/>
            <w:noWrap/>
            <w:vAlign w:val="bottom"/>
            <w:hideMark/>
          </w:tcPr>
          <w:p w14:paraId="5740C7E1"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0.05</w:t>
            </w:r>
          </w:p>
        </w:tc>
      </w:tr>
      <w:tr w:rsidR="004056EE" w:rsidRPr="004056EE" w14:paraId="1F382577" w14:textId="77777777" w:rsidTr="004056EE">
        <w:trPr>
          <w:trHeight w:val="300"/>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14:paraId="35322AB8" w14:textId="4C6303F0"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 xml:space="preserve">Provisions against </w:t>
            </w:r>
            <w:r w:rsidR="00E03525" w:rsidRPr="004056EE">
              <w:rPr>
                <w:rFonts w:ascii="Calibri" w:eastAsia="Times New Roman" w:hAnsi="Calibri" w:cs="Calibri"/>
                <w:color w:val="000000"/>
                <w:lang w:eastAsia="en-CA"/>
              </w:rPr>
              <w:t>NPLs and</w:t>
            </w:r>
            <w:r w:rsidRPr="004056EE">
              <w:rPr>
                <w:rFonts w:ascii="Calibri" w:eastAsia="Times New Roman" w:hAnsi="Calibri" w:cs="Calibri"/>
                <w:color w:val="000000"/>
                <w:lang w:eastAsia="en-CA"/>
              </w:rPr>
              <w:t xml:space="preserve"> Gross Advances</w:t>
            </w:r>
          </w:p>
        </w:tc>
        <w:tc>
          <w:tcPr>
            <w:tcW w:w="1160" w:type="dxa"/>
            <w:tcBorders>
              <w:top w:val="nil"/>
              <w:left w:val="nil"/>
              <w:bottom w:val="single" w:sz="4" w:space="0" w:color="auto"/>
              <w:right w:val="single" w:sz="4" w:space="0" w:color="auto"/>
            </w:tcBorders>
            <w:shd w:val="clear" w:color="auto" w:fill="auto"/>
            <w:noWrap/>
            <w:vAlign w:val="bottom"/>
            <w:hideMark/>
          </w:tcPr>
          <w:p w14:paraId="609DA77D"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-0.02</w:t>
            </w:r>
          </w:p>
        </w:tc>
        <w:tc>
          <w:tcPr>
            <w:tcW w:w="1420" w:type="dxa"/>
            <w:tcBorders>
              <w:top w:val="nil"/>
              <w:left w:val="nil"/>
              <w:bottom w:val="single" w:sz="4" w:space="0" w:color="auto"/>
              <w:right w:val="single" w:sz="4" w:space="0" w:color="auto"/>
            </w:tcBorders>
            <w:shd w:val="clear" w:color="auto" w:fill="auto"/>
            <w:noWrap/>
            <w:vAlign w:val="bottom"/>
            <w:hideMark/>
          </w:tcPr>
          <w:p w14:paraId="1B2F4DAA"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-0.03</w:t>
            </w:r>
          </w:p>
        </w:tc>
        <w:tc>
          <w:tcPr>
            <w:tcW w:w="1420" w:type="dxa"/>
            <w:tcBorders>
              <w:top w:val="nil"/>
              <w:left w:val="nil"/>
              <w:bottom w:val="single" w:sz="4" w:space="0" w:color="auto"/>
              <w:right w:val="single" w:sz="4" w:space="0" w:color="auto"/>
            </w:tcBorders>
            <w:shd w:val="clear" w:color="auto" w:fill="auto"/>
            <w:noWrap/>
            <w:vAlign w:val="bottom"/>
            <w:hideMark/>
          </w:tcPr>
          <w:p w14:paraId="00C331C7"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-0.03</w:t>
            </w:r>
          </w:p>
        </w:tc>
        <w:tc>
          <w:tcPr>
            <w:tcW w:w="1420" w:type="dxa"/>
            <w:tcBorders>
              <w:top w:val="nil"/>
              <w:left w:val="nil"/>
              <w:bottom w:val="single" w:sz="4" w:space="0" w:color="auto"/>
              <w:right w:val="single" w:sz="4" w:space="0" w:color="auto"/>
            </w:tcBorders>
            <w:shd w:val="clear" w:color="auto" w:fill="auto"/>
            <w:noWrap/>
            <w:vAlign w:val="bottom"/>
            <w:hideMark/>
          </w:tcPr>
          <w:p w14:paraId="5B59498D"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-0.03</w:t>
            </w:r>
          </w:p>
        </w:tc>
        <w:tc>
          <w:tcPr>
            <w:tcW w:w="1420" w:type="dxa"/>
            <w:tcBorders>
              <w:top w:val="nil"/>
              <w:left w:val="nil"/>
              <w:bottom w:val="single" w:sz="4" w:space="0" w:color="auto"/>
              <w:right w:val="single" w:sz="4" w:space="0" w:color="auto"/>
            </w:tcBorders>
            <w:shd w:val="clear" w:color="auto" w:fill="auto"/>
            <w:noWrap/>
            <w:vAlign w:val="bottom"/>
            <w:hideMark/>
          </w:tcPr>
          <w:p w14:paraId="0B679126"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-0.04</w:t>
            </w:r>
          </w:p>
        </w:tc>
      </w:tr>
      <w:tr w:rsidR="004056EE" w:rsidRPr="004056EE" w14:paraId="61241B63" w14:textId="77777777" w:rsidTr="004056EE">
        <w:trPr>
          <w:trHeight w:val="300"/>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14:paraId="480204B8" w14:textId="77777777"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NPLs to Equity Ratio</w:t>
            </w:r>
          </w:p>
        </w:tc>
        <w:tc>
          <w:tcPr>
            <w:tcW w:w="1160" w:type="dxa"/>
            <w:tcBorders>
              <w:top w:val="nil"/>
              <w:left w:val="nil"/>
              <w:bottom w:val="single" w:sz="4" w:space="0" w:color="auto"/>
              <w:right w:val="single" w:sz="4" w:space="0" w:color="auto"/>
            </w:tcBorders>
            <w:shd w:val="clear" w:color="auto" w:fill="auto"/>
            <w:noWrap/>
            <w:vAlign w:val="bottom"/>
            <w:hideMark/>
          </w:tcPr>
          <w:p w14:paraId="107BF36B"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0.11</w:t>
            </w:r>
          </w:p>
        </w:tc>
        <w:tc>
          <w:tcPr>
            <w:tcW w:w="1420" w:type="dxa"/>
            <w:tcBorders>
              <w:top w:val="nil"/>
              <w:left w:val="nil"/>
              <w:bottom w:val="single" w:sz="4" w:space="0" w:color="auto"/>
              <w:right w:val="single" w:sz="4" w:space="0" w:color="auto"/>
            </w:tcBorders>
            <w:shd w:val="clear" w:color="auto" w:fill="auto"/>
            <w:noWrap/>
            <w:vAlign w:val="bottom"/>
            <w:hideMark/>
          </w:tcPr>
          <w:p w14:paraId="7E360AE9"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0.11</w:t>
            </w:r>
          </w:p>
        </w:tc>
        <w:tc>
          <w:tcPr>
            <w:tcW w:w="1420" w:type="dxa"/>
            <w:tcBorders>
              <w:top w:val="nil"/>
              <w:left w:val="nil"/>
              <w:bottom w:val="single" w:sz="4" w:space="0" w:color="auto"/>
              <w:right w:val="single" w:sz="4" w:space="0" w:color="auto"/>
            </w:tcBorders>
            <w:shd w:val="clear" w:color="auto" w:fill="auto"/>
            <w:noWrap/>
            <w:vAlign w:val="bottom"/>
            <w:hideMark/>
          </w:tcPr>
          <w:p w14:paraId="7A4D91F0"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0.14</w:t>
            </w:r>
          </w:p>
        </w:tc>
        <w:tc>
          <w:tcPr>
            <w:tcW w:w="1420" w:type="dxa"/>
            <w:tcBorders>
              <w:top w:val="nil"/>
              <w:left w:val="nil"/>
              <w:bottom w:val="single" w:sz="4" w:space="0" w:color="auto"/>
              <w:right w:val="single" w:sz="4" w:space="0" w:color="auto"/>
            </w:tcBorders>
            <w:shd w:val="clear" w:color="auto" w:fill="auto"/>
            <w:noWrap/>
            <w:vAlign w:val="bottom"/>
            <w:hideMark/>
          </w:tcPr>
          <w:p w14:paraId="0CE4A9CA"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0.15</w:t>
            </w:r>
          </w:p>
        </w:tc>
        <w:tc>
          <w:tcPr>
            <w:tcW w:w="1420" w:type="dxa"/>
            <w:tcBorders>
              <w:top w:val="nil"/>
              <w:left w:val="nil"/>
              <w:bottom w:val="single" w:sz="4" w:space="0" w:color="auto"/>
              <w:right w:val="single" w:sz="4" w:space="0" w:color="auto"/>
            </w:tcBorders>
            <w:shd w:val="clear" w:color="auto" w:fill="auto"/>
            <w:noWrap/>
            <w:vAlign w:val="bottom"/>
            <w:hideMark/>
          </w:tcPr>
          <w:p w14:paraId="3B5258C4"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0.17</w:t>
            </w:r>
          </w:p>
        </w:tc>
      </w:tr>
      <w:tr w:rsidR="004056EE" w:rsidRPr="004056EE" w14:paraId="08D86189" w14:textId="77777777" w:rsidTr="004056EE">
        <w:trPr>
          <w:trHeight w:val="300"/>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14:paraId="413B8A0B" w14:textId="77777777"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Coverage Ratio</w:t>
            </w:r>
          </w:p>
        </w:tc>
        <w:tc>
          <w:tcPr>
            <w:tcW w:w="1160" w:type="dxa"/>
            <w:tcBorders>
              <w:top w:val="nil"/>
              <w:left w:val="nil"/>
              <w:bottom w:val="single" w:sz="4" w:space="0" w:color="auto"/>
              <w:right w:val="single" w:sz="4" w:space="0" w:color="auto"/>
            </w:tcBorders>
            <w:shd w:val="clear" w:color="auto" w:fill="auto"/>
            <w:noWrap/>
            <w:vAlign w:val="bottom"/>
            <w:hideMark/>
          </w:tcPr>
          <w:p w14:paraId="242BA31C"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-0.94</w:t>
            </w:r>
          </w:p>
        </w:tc>
        <w:tc>
          <w:tcPr>
            <w:tcW w:w="1420" w:type="dxa"/>
            <w:tcBorders>
              <w:top w:val="nil"/>
              <w:left w:val="nil"/>
              <w:bottom w:val="single" w:sz="4" w:space="0" w:color="auto"/>
              <w:right w:val="single" w:sz="4" w:space="0" w:color="auto"/>
            </w:tcBorders>
            <w:shd w:val="clear" w:color="auto" w:fill="auto"/>
            <w:noWrap/>
            <w:vAlign w:val="bottom"/>
            <w:hideMark/>
          </w:tcPr>
          <w:p w14:paraId="391D3E37"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-0.97</w:t>
            </w:r>
          </w:p>
        </w:tc>
        <w:tc>
          <w:tcPr>
            <w:tcW w:w="1420" w:type="dxa"/>
            <w:tcBorders>
              <w:top w:val="nil"/>
              <w:left w:val="nil"/>
              <w:bottom w:val="single" w:sz="4" w:space="0" w:color="auto"/>
              <w:right w:val="single" w:sz="4" w:space="0" w:color="auto"/>
            </w:tcBorders>
            <w:shd w:val="clear" w:color="auto" w:fill="auto"/>
            <w:noWrap/>
            <w:vAlign w:val="bottom"/>
            <w:hideMark/>
          </w:tcPr>
          <w:p w14:paraId="31E8A40A"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-0.96</w:t>
            </w:r>
          </w:p>
        </w:tc>
        <w:tc>
          <w:tcPr>
            <w:tcW w:w="1420" w:type="dxa"/>
            <w:tcBorders>
              <w:top w:val="nil"/>
              <w:left w:val="nil"/>
              <w:bottom w:val="single" w:sz="4" w:space="0" w:color="auto"/>
              <w:right w:val="single" w:sz="4" w:space="0" w:color="auto"/>
            </w:tcBorders>
            <w:shd w:val="clear" w:color="auto" w:fill="auto"/>
            <w:noWrap/>
            <w:vAlign w:val="bottom"/>
            <w:hideMark/>
          </w:tcPr>
          <w:p w14:paraId="44E9E83A"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-0.97</w:t>
            </w:r>
          </w:p>
        </w:tc>
        <w:tc>
          <w:tcPr>
            <w:tcW w:w="1420" w:type="dxa"/>
            <w:tcBorders>
              <w:top w:val="nil"/>
              <w:left w:val="nil"/>
              <w:bottom w:val="single" w:sz="4" w:space="0" w:color="auto"/>
              <w:right w:val="single" w:sz="4" w:space="0" w:color="auto"/>
            </w:tcBorders>
            <w:shd w:val="clear" w:color="auto" w:fill="auto"/>
            <w:noWrap/>
            <w:vAlign w:val="bottom"/>
            <w:hideMark/>
          </w:tcPr>
          <w:p w14:paraId="5C7ED5AE"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-0.93</w:t>
            </w:r>
          </w:p>
        </w:tc>
      </w:tr>
    </w:tbl>
    <w:p w14:paraId="6238DAC9" w14:textId="4F9A2EC8" w:rsidR="007A243D" w:rsidRDefault="007A243D" w:rsidP="007A243D"/>
    <w:p w14:paraId="69019348" w14:textId="7C7C2F2F" w:rsidR="004056EE" w:rsidRPr="009F6E50" w:rsidRDefault="004056EE" w:rsidP="004056EE">
      <w:pPr>
        <w:pStyle w:val="ListParagraph"/>
        <w:numPr>
          <w:ilvl w:val="0"/>
          <w:numId w:val="1"/>
        </w:numPr>
        <w:rPr>
          <w:b/>
          <w:bCs/>
          <w:u w:val="single"/>
        </w:rPr>
      </w:pPr>
      <w:r w:rsidRPr="009F6E50">
        <w:rPr>
          <w:rFonts w:ascii="Calibri" w:eastAsia="Times New Roman" w:hAnsi="Calibri" w:cs="Calibri"/>
          <w:b/>
          <w:bCs/>
          <w:color w:val="000000"/>
          <w:u w:val="single"/>
          <w:lang w:eastAsia="en-CA"/>
        </w:rPr>
        <w:t>NPLs to Gross Advances</w:t>
      </w:r>
    </w:p>
    <w:p w14:paraId="3A2E4802" w14:textId="7EDDD804" w:rsidR="007A243D" w:rsidRDefault="007A243D" w:rsidP="007A243D">
      <w:r>
        <w:t xml:space="preserve">This ratio expresses the quality of loan portfolio of a bank. </w:t>
      </w:r>
      <w:r w:rsidR="008E21F9">
        <w:t>This ratio has been decreased from 5% to 2% over the years which is a good sign for a bank</w:t>
      </w:r>
      <w:r w:rsidR="00E03525">
        <w:t xml:space="preserve"> because they are giving advances with low risk.</w:t>
      </w:r>
    </w:p>
    <w:p w14:paraId="1C8D394A" w14:textId="552BC80B" w:rsidR="007A243D" w:rsidRPr="009F6E50" w:rsidRDefault="004056EE" w:rsidP="004056EE">
      <w:pPr>
        <w:pStyle w:val="ListParagraph"/>
        <w:numPr>
          <w:ilvl w:val="0"/>
          <w:numId w:val="1"/>
        </w:numPr>
        <w:rPr>
          <w:b/>
          <w:bCs/>
          <w:u w:val="single"/>
        </w:rPr>
      </w:pPr>
      <w:r w:rsidRPr="009F6E50">
        <w:rPr>
          <w:rFonts w:ascii="Calibri" w:eastAsia="Times New Roman" w:hAnsi="Calibri" w:cs="Calibri"/>
          <w:b/>
          <w:bCs/>
          <w:color w:val="000000"/>
          <w:u w:val="single"/>
          <w:lang w:eastAsia="en-CA"/>
        </w:rPr>
        <w:t xml:space="preserve">Provisions against </w:t>
      </w:r>
      <w:r w:rsidR="00E03525" w:rsidRPr="009F6E50">
        <w:rPr>
          <w:rFonts w:ascii="Calibri" w:eastAsia="Times New Roman" w:hAnsi="Calibri" w:cs="Calibri"/>
          <w:b/>
          <w:bCs/>
          <w:color w:val="000000"/>
          <w:u w:val="single"/>
          <w:lang w:eastAsia="en-CA"/>
        </w:rPr>
        <w:t>NPLs and</w:t>
      </w:r>
      <w:r w:rsidRPr="009F6E50">
        <w:rPr>
          <w:rFonts w:ascii="Calibri" w:eastAsia="Times New Roman" w:hAnsi="Calibri" w:cs="Calibri"/>
          <w:b/>
          <w:bCs/>
          <w:color w:val="000000"/>
          <w:u w:val="single"/>
          <w:lang w:eastAsia="en-CA"/>
        </w:rPr>
        <w:t xml:space="preserve"> Gross Advances</w:t>
      </w:r>
    </w:p>
    <w:p w14:paraId="70DB8713" w14:textId="5E5B0EAA" w:rsidR="007A243D" w:rsidRDefault="007A243D" w:rsidP="007A243D">
      <w:r>
        <w:lastRenderedPageBreak/>
        <w:t>The ratio between provisions against classified loans/advances to gross advances reflects the quality of advances of bank</w:t>
      </w:r>
      <w:r w:rsidR="00E03525">
        <w:t>. This ratio has been decreased from 4% to 2% over the years which is also a good sign for a bank.</w:t>
      </w:r>
    </w:p>
    <w:p w14:paraId="30D9D0C6" w14:textId="4621AD1F" w:rsidR="007A243D" w:rsidRPr="009F6E50" w:rsidRDefault="004056EE" w:rsidP="004056EE">
      <w:pPr>
        <w:pStyle w:val="ListParagraph"/>
        <w:numPr>
          <w:ilvl w:val="0"/>
          <w:numId w:val="1"/>
        </w:numPr>
        <w:rPr>
          <w:b/>
          <w:bCs/>
          <w:u w:val="single"/>
        </w:rPr>
      </w:pPr>
      <w:r w:rsidRPr="009F6E50">
        <w:rPr>
          <w:rFonts w:ascii="Calibri" w:eastAsia="Times New Roman" w:hAnsi="Calibri" w:cs="Calibri"/>
          <w:b/>
          <w:bCs/>
          <w:color w:val="000000"/>
          <w:u w:val="single"/>
          <w:lang w:eastAsia="en-CA"/>
        </w:rPr>
        <w:t>NPLs to Equity Ratio</w:t>
      </w:r>
    </w:p>
    <w:p w14:paraId="66425DB4" w14:textId="5042E0D4" w:rsidR="007A243D" w:rsidRDefault="007A243D" w:rsidP="007A243D">
      <w:r>
        <w:t xml:space="preserve">The ratio between NPLs to shareholders’ equity indicates the exposure of the common shareholders to NPLs. </w:t>
      </w:r>
      <w:r w:rsidR="00D35268">
        <w:t>I</w:t>
      </w:r>
      <w:r w:rsidR="00E03525">
        <w:t>t has also been decreased over the years from 0.17 to 0.11</w:t>
      </w:r>
      <w:r w:rsidR="00D35268">
        <w:t xml:space="preserve"> which is a good indicator.</w:t>
      </w:r>
    </w:p>
    <w:p w14:paraId="1B11A8BF" w14:textId="0F2E91BD" w:rsidR="007A243D" w:rsidRPr="009F6E50" w:rsidRDefault="004056EE" w:rsidP="004056EE">
      <w:pPr>
        <w:pStyle w:val="ListParagraph"/>
        <w:numPr>
          <w:ilvl w:val="0"/>
          <w:numId w:val="1"/>
        </w:numPr>
        <w:rPr>
          <w:b/>
          <w:bCs/>
          <w:u w:val="single"/>
        </w:rPr>
      </w:pPr>
      <w:r w:rsidRPr="009F6E50">
        <w:rPr>
          <w:rFonts w:ascii="Calibri" w:eastAsia="Times New Roman" w:hAnsi="Calibri" w:cs="Calibri"/>
          <w:b/>
          <w:bCs/>
          <w:color w:val="000000"/>
          <w:u w:val="single"/>
          <w:lang w:eastAsia="en-CA"/>
        </w:rPr>
        <w:t>Coverage Ratio</w:t>
      </w:r>
    </w:p>
    <w:p w14:paraId="25DC403C" w14:textId="47AC011B" w:rsidR="005343C2" w:rsidRDefault="007A243D" w:rsidP="007A243D">
      <w:r>
        <w:t>Th</w:t>
      </w:r>
      <w:r w:rsidR="00D35268">
        <w:t>is</w:t>
      </w:r>
      <w:r>
        <w:t xml:space="preserve"> ratio reflects what percentage of provision has been made against NPLs</w:t>
      </w:r>
      <w:r w:rsidR="006A00DA">
        <w:t>.</w:t>
      </w:r>
      <w:r w:rsidR="00D35268">
        <w:t xml:space="preserve"> It was increased from 0.93 to 0.97 in the FY2018 and remained stable since then, with NPLs decreasing over the years is also a good indicator for a bank. </w:t>
      </w:r>
    </w:p>
    <w:p w14:paraId="3415B8B9" w14:textId="77777777" w:rsidR="005343C2" w:rsidRDefault="005343C2" w:rsidP="007A243D"/>
    <w:p w14:paraId="338942DA" w14:textId="7DAD3CDF" w:rsidR="009F6E50" w:rsidRPr="009F6E50" w:rsidRDefault="009F6E50" w:rsidP="009F6E50">
      <w:pPr>
        <w:pStyle w:val="ListParagraph"/>
        <w:numPr>
          <w:ilvl w:val="0"/>
          <w:numId w:val="8"/>
        </w:numPr>
        <w:rPr>
          <w:sz w:val="28"/>
          <w:szCs w:val="28"/>
        </w:rPr>
      </w:pPr>
      <w:r w:rsidRPr="009F6E50">
        <w:rPr>
          <w:rFonts w:ascii="Calibri" w:eastAsia="Times New Roman" w:hAnsi="Calibri" w:cs="Calibri"/>
          <w:b/>
          <w:bCs/>
          <w:color w:val="000000"/>
          <w:sz w:val="28"/>
          <w:szCs w:val="28"/>
          <w:lang w:eastAsia="en-CA"/>
        </w:rPr>
        <w:t>Capital/Leverage Ratios</w:t>
      </w:r>
    </w:p>
    <w:tbl>
      <w:tblPr>
        <w:tblW w:w="11780" w:type="dxa"/>
        <w:tblInd w:w="-1220" w:type="dxa"/>
        <w:tblLook w:val="04A0" w:firstRow="1" w:lastRow="0" w:firstColumn="1" w:lastColumn="0" w:noHBand="0" w:noVBand="1"/>
      </w:tblPr>
      <w:tblGrid>
        <w:gridCol w:w="4940"/>
        <w:gridCol w:w="1160"/>
        <w:gridCol w:w="1420"/>
        <w:gridCol w:w="1420"/>
        <w:gridCol w:w="1420"/>
        <w:gridCol w:w="1420"/>
      </w:tblGrid>
      <w:tr w:rsidR="004056EE" w:rsidRPr="004056EE" w14:paraId="306235A7" w14:textId="77777777" w:rsidTr="004056EE">
        <w:trPr>
          <w:trHeight w:val="300"/>
        </w:trPr>
        <w:tc>
          <w:tcPr>
            <w:tcW w:w="494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7E8588C0" w14:textId="2D7E20C8" w:rsidR="004056EE" w:rsidRPr="004056EE" w:rsidRDefault="004056EE" w:rsidP="004056EE">
            <w:pPr>
              <w:spacing w:after="0" w:line="240" w:lineRule="auto"/>
              <w:rPr>
                <w:rFonts w:ascii="Calibri" w:eastAsia="Times New Roman" w:hAnsi="Calibri" w:cs="Calibri"/>
                <w:b/>
                <w:bCs/>
                <w:color w:val="000000"/>
                <w:lang w:eastAsia="en-CA"/>
              </w:rPr>
            </w:pPr>
            <w:r w:rsidRPr="004056EE">
              <w:rPr>
                <w:rFonts w:ascii="Calibri" w:eastAsia="Times New Roman" w:hAnsi="Calibri" w:cs="Calibri"/>
                <w:b/>
                <w:bCs/>
                <w:color w:val="000000"/>
                <w:lang w:eastAsia="en-CA"/>
              </w:rPr>
              <w:t>Capital/Leverage Ratios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3DC3272" w14:textId="70F703AC"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 </w:t>
            </w:r>
            <w:r>
              <w:rPr>
                <w:rFonts w:ascii="Calibri" w:eastAsia="Times New Roman" w:hAnsi="Calibri" w:cs="Calibri"/>
                <w:color w:val="000000"/>
                <w:lang w:eastAsia="en-CA"/>
              </w:rPr>
              <w:t>2021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118833A2" w14:textId="30BB90D5"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 </w:t>
            </w:r>
            <w:r>
              <w:rPr>
                <w:rFonts w:ascii="Calibri" w:eastAsia="Times New Roman" w:hAnsi="Calibri" w:cs="Calibri"/>
                <w:color w:val="000000"/>
                <w:lang w:eastAsia="en-CA"/>
              </w:rPr>
              <w:t>2020</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313176C3" w14:textId="16B8039D"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 </w:t>
            </w:r>
            <w:r>
              <w:rPr>
                <w:rFonts w:ascii="Calibri" w:eastAsia="Times New Roman" w:hAnsi="Calibri" w:cs="Calibri"/>
                <w:color w:val="000000"/>
                <w:lang w:eastAsia="en-CA"/>
              </w:rPr>
              <w:t>2019</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51A5F76C" w14:textId="04CE5AFF"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 </w:t>
            </w:r>
            <w:r>
              <w:rPr>
                <w:rFonts w:ascii="Calibri" w:eastAsia="Times New Roman" w:hAnsi="Calibri" w:cs="Calibri"/>
                <w:color w:val="000000"/>
                <w:lang w:eastAsia="en-CA"/>
              </w:rPr>
              <w:t>2018</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6711C93E" w14:textId="1E5936F4"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 </w:t>
            </w:r>
            <w:r>
              <w:rPr>
                <w:rFonts w:ascii="Calibri" w:eastAsia="Times New Roman" w:hAnsi="Calibri" w:cs="Calibri"/>
                <w:color w:val="000000"/>
                <w:lang w:eastAsia="en-CA"/>
              </w:rPr>
              <w:t>2017</w:t>
            </w:r>
          </w:p>
        </w:tc>
      </w:tr>
      <w:tr w:rsidR="004056EE" w:rsidRPr="004056EE" w14:paraId="4651CC2A" w14:textId="77777777" w:rsidTr="004056EE">
        <w:trPr>
          <w:trHeight w:val="300"/>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14:paraId="42B1113F" w14:textId="77777777"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Capital ratio</w:t>
            </w:r>
          </w:p>
        </w:tc>
        <w:tc>
          <w:tcPr>
            <w:tcW w:w="1160" w:type="dxa"/>
            <w:tcBorders>
              <w:top w:val="nil"/>
              <w:left w:val="nil"/>
              <w:bottom w:val="single" w:sz="4" w:space="0" w:color="auto"/>
              <w:right w:val="single" w:sz="4" w:space="0" w:color="auto"/>
            </w:tcBorders>
            <w:shd w:val="clear" w:color="auto" w:fill="auto"/>
            <w:noWrap/>
            <w:vAlign w:val="bottom"/>
            <w:hideMark/>
          </w:tcPr>
          <w:p w14:paraId="1DEF85F7"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0.06</w:t>
            </w:r>
          </w:p>
        </w:tc>
        <w:tc>
          <w:tcPr>
            <w:tcW w:w="1420" w:type="dxa"/>
            <w:tcBorders>
              <w:top w:val="nil"/>
              <w:left w:val="nil"/>
              <w:bottom w:val="single" w:sz="4" w:space="0" w:color="auto"/>
              <w:right w:val="single" w:sz="4" w:space="0" w:color="auto"/>
            </w:tcBorders>
            <w:shd w:val="clear" w:color="auto" w:fill="auto"/>
            <w:noWrap/>
            <w:vAlign w:val="bottom"/>
            <w:hideMark/>
          </w:tcPr>
          <w:p w14:paraId="08F313AD"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0.08</w:t>
            </w:r>
          </w:p>
        </w:tc>
        <w:tc>
          <w:tcPr>
            <w:tcW w:w="1420" w:type="dxa"/>
            <w:tcBorders>
              <w:top w:val="nil"/>
              <w:left w:val="nil"/>
              <w:bottom w:val="single" w:sz="4" w:space="0" w:color="auto"/>
              <w:right w:val="single" w:sz="4" w:space="0" w:color="auto"/>
            </w:tcBorders>
            <w:shd w:val="clear" w:color="auto" w:fill="auto"/>
            <w:noWrap/>
            <w:vAlign w:val="bottom"/>
            <w:hideMark/>
          </w:tcPr>
          <w:p w14:paraId="70467723"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0.08</w:t>
            </w:r>
          </w:p>
        </w:tc>
        <w:tc>
          <w:tcPr>
            <w:tcW w:w="1420" w:type="dxa"/>
            <w:tcBorders>
              <w:top w:val="nil"/>
              <w:left w:val="nil"/>
              <w:bottom w:val="single" w:sz="4" w:space="0" w:color="auto"/>
              <w:right w:val="single" w:sz="4" w:space="0" w:color="auto"/>
            </w:tcBorders>
            <w:shd w:val="clear" w:color="auto" w:fill="auto"/>
            <w:noWrap/>
            <w:vAlign w:val="bottom"/>
            <w:hideMark/>
          </w:tcPr>
          <w:p w14:paraId="5A5568C2"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0.08</w:t>
            </w:r>
          </w:p>
        </w:tc>
        <w:tc>
          <w:tcPr>
            <w:tcW w:w="1420" w:type="dxa"/>
            <w:tcBorders>
              <w:top w:val="nil"/>
              <w:left w:val="nil"/>
              <w:bottom w:val="single" w:sz="4" w:space="0" w:color="auto"/>
              <w:right w:val="single" w:sz="4" w:space="0" w:color="auto"/>
            </w:tcBorders>
            <w:shd w:val="clear" w:color="auto" w:fill="auto"/>
            <w:noWrap/>
            <w:vAlign w:val="bottom"/>
            <w:hideMark/>
          </w:tcPr>
          <w:p w14:paraId="19A0BBD0" w14:textId="77777777"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0.09</w:t>
            </w:r>
          </w:p>
        </w:tc>
      </w:tr>
    </w:tbl>
    <w:p w14:paraId="66C33020" w14:textId="77777777" w:rsidR="009F6E50" w:rsidRPr="009F6E50" w:rsidRDefault="009F6E50" w:rsidP="009F6E50">
      <w:pPr>
        <w:pStyle w:val="ListParagraph"/>
        <w:rPr>
          <w:b/>
          <w:bCs/>
          <w:u w:val="single"/>
        </w:rPr>
      </w:pPr>
    </w:p>
    <w:p w14:paraId="5DF599F8" w14:textId="0E888BBA" w:rsidR="004056EE" w:rsidRPr="00531584" w:rsidRDefault="004056EE" w:rsidP="009F6E50">
      <w:pPr>
        <w:pStyle w:val="ListParagraph"/>
        <w:numPr>
          <w:ilvl w:val="0"/>
          <w:numId w:val="1"/>
        </w:numPr>
        <w:rPr>
          <w:b/>
          <w:bCs/>
          <w:u w:val="single"/>
        </w:rPr>
      </w:pPr>
      <w:r w:rsidRPr="009F6E50">
        <w:rPr>
          <w:rFonts w:ascii="Calibri" w:eastAsia="Times New Roman" w:hAnsi="Calibri" w:cs="Calibri"/>
          <w:b/>
          <w:bCs/>
          <w:color w:val="000000"/>
          <w:u w:val="single"/>
          <w:lang w:eastAsia="en-CA"/>
        </w:rPr>
        <w:t>Capital ratio</w:t>
      </w:r>
    </w:p>
    <w:p w14:paraId="27651D10" w14:textId="2FD1650E" w:rsidR="00531584" w:rsidRPr="00531584" w:rsidRDefault="00531584" w:rsidP="00531584">
      <w:r>
        <w:t>This ratio shows shareholder’s equity against total assets of a bank</w:t>
      </w:r>
      <w:r w:rsidR="008E21F9">
        <w:t xml:space="preserve">. It </w:t>
      </w:r>
      <w:r>
        <w:t>remained stable till FY2020 but decreased a bit in FY2021</w:t>
      </w:r>
      <w:r w:rsidR="008E21F9">
        <w:t xml:space="preserve"> which is not a good indicator because high capital ratio indicates that a bank is in better position to deal with unexpected losses.</w:t>
      </w:r>
    </w:p>
    <w:p w14:paraId="330AEDF9" w14:textId="77777777" w:rsidR="005343C2" w:rsidRDefault="005343C2" w:rsidP="007A243D"/>
    <w:p w14:paraId="70AE8838" w14:textId="4ED0BA8D" w:rsidR="009F6E50" w:rsidRPr="009F6E50" w:rsidRDefault="009F6E50" w:rsidP="009F6E50">
      <w:pPr>
        <w:pStyle w:val="ListParagraph"/>
        <w:numPr>
          <w:ilvl w:val="0"/>
          <w:numId w:val="8"/>
        </w:numPr>
        <w:rPr>
          <w:sz w:val="28"/>
          <w:szCs w:val="28"/>
        </w:rPr>
      </w:pPr>
      <w:r w:rsidRPr="009F6E50">
        <w:rPr>
          <w:rFonts w:ascii="Calibri" w:eastAsia="Times New Roman" w:hAnsi="Calibri" w:cs="Calibri"/>
          <w:b/>
          <w:bCs/>
          <w:color w:val="000000"/>
          <w:sz w:val="28"/>
          <w:szCs w:val="28"/>
          <w:lang w:eastAsia="en-CA"/>
        </w:rPr>
        <w:t>Cash Flow Ratios</w:t>
      </w:r>
    </w:p>
    <w:tbl>
      <w:tblPr>
        <w:tblW w:w="11780" w:type="dxa"/>
        <w:tblInd w:w="-1220" w:type="dxa"/>
        <w:tblLook w:val="04A0" w:firstRow="1" w:lastRow="0" w:firstColumn="1" w:lastColumn="0" w:noHBand="0" w:noVBand="1"/>
      </w:tblPr>
      <w:tblGrid>
        <w:gridCol w:w="4940"/>
        <w:gridCol w:w="1160"/>
        <w:gridCol w:w="1420"/>
        <w:gridCol w:w="1420"/>
        <w:gridCol w:w="1420"/>
        <w:gridCol w:w="1420"/>
      </w:tblGrid>
      <w:tr w:rsidR="004056EE" w:rsidRPr="004056EE" w14:paraId="6CCA7092" w14:textId="77777777" w:rsidTr="004056EE">
        <w:trPr>
          <w:trHeight w:val="300"/>
        </w:trPr>
        <w:tc>
          <w:tcPr>
            <w:tcW w:w="4940"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4158189B" w14:textId="77777777" w:rsidR="004056EE" w:rsidRPr="004056EE" w:rsidRDefault="004056EE" w:rsidP="004056EE">
            <w:pPr>
              <w:spacing w:after="0" w:line="240" w:lineRule="auto"/>
              <w:rPr>
                <w:rFonts w:ascii="Calibri" w:eastAsia="Times New Roman" w:hAnsi="Calibri" w:cs="Calibri"/>
                <w:b/>
                <w:bCs/>
                <w:color w:val="000000"/>
                <w:lang w:eastAsia="en-CA"/>
              </w:rPr>
            </w:pPr>
            <w:r w:rsidRPr="004056EE">
              <w:rPr>
                <w:rFonts w:ascii="Calibri" w:eastAsia="Times New Roman" w:hAnsi="Calibri" w:cs="Calibri"/>
                <w:b/>
                <w:bCs/>
                <w:color w:val="000000"/>
                <w:lang w:eastAsia="en-CA"/>
              </w:rPr>
              <w:t>Cash Flow Ratios</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BB4D908" w14:textId="06166E19"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 </w:t>
            </w:r>
            <w:r>
              <w:rPr>
                <w:rFonts w:ascii="Calibri" w:eastAsia="Times New Roman" w:hAnsi="Calibri" w:cs="Calibri"/>
                <w:color w:val="000000"/>
                <w:lang w:eastAsia="en-CA"/>
              </w:rPr>
              <w:t>2021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13F7093C" w14:textId="74E7DB9B"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 </w:t>
            </w:r>
            <w:r>
              <w:rPr>
                <w:rFonts w:ascii="Calibri" w:eastAsia="Times New Roman" w:hAnsi="Calibri" w:cs="Calibri"/>
                <w:color w:val="000000"/>
                <w:lang w:eastAsia="en-CA"/>
              </w:rPr>
              <w:t>2020</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72A0A0F" w14:textId="3E326775"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 </w:t>
            </w:r>
            <w:r>
              <w:rPr>
                <w:rFonts w:ascii="Calibri" w:eastAsia="Times New Roman" w:hAnsi="Calibri" w:cs="Calibri"/>
                <w:color w:val="000000"/>
                <w:lang w:eastAsia="en-CA"/>
              </w:rPr>
              <w:t>2019</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72D08AF5" w14:textId="2E74459F"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 </w:t>
            </w:r>
            <w:r>
              <w:rPr>
                <w:rFonts w:ascii="Calibri" w:eastAsia="Times New Roman" w:hAnsi="Calibri" w:cs="Calibri"/>
                <w:color w:val="000000"/>
                <w:lang w:eastAsia="en-CA"/>
              </w:rPr>
              <w:t>2018</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456FCAF8" w14:textId="39967EDB"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 </w:t>
            </w:r>
            <w:r>
              <w:rPr>
                <w:rFonts w:ascii="Calibri" w:eastAsia="Times New Roman" w:hAnsi="Calibri" w:cs="Calibri"/>
                <w:color w:val="000000"/>
                <w:lang w:eastAsia="en-CA"/>
              </w:rPr>
              <w:t>2017</w:t>
            </w:r>
          </w:p>
        </w:tc>
      </w:tr>
      <w:tr w:rsidR="004056EE" w:rsidRPr="004056EE" w14:paraId="1D313618" w14:textId="77777777" w:rsidTr="004056EE">
        <w:trPr>
          <w:trHeight w:val="300"/>
        </w:trPr>
        <w:tc>
          <w:tcPr>
            <w:tcW w:w="4940" w:type="dxa"/>
            <w:tcBorders>
              <w:top w:val="nil"/>
              <w:left w:val="single" w:sz="4" w:space="0" w:color="auto"/>
              <w:bottom w:val="single" w:sz="4" w:space="0" w:color="auto"/>
              <w:right w:val="single" w:sz="4" w:space="0" w:color="auto"/>
            </w:tcBorders>
            <w:shd w:val="clear" w:color="auto" w:fill="auto"/>
            <w:noWrap/>
            <w:vAlign w:val="bottom"/>
            <w:hideMark/>
          </w:tcPr>
          <w:p w14:paraId="2D4D8122" w14:textId="77777777" w:rsidR="004056EE" w:rsidRPr="004056EE" w:rsidRDefault="004056EE" w:rsidP="004056EE">
            <w:pPr>
              <w:spacing w:after="0" w:line="240" w:lineRule="auto"/>
              <w:rPr>
                <w:rFonts w:ascii="Calibri" w:eastAsia="Times New Roman" w:hAnsi="Calibri" w:cs="Calibri"/>
                <w:color w:val="000000"/>
                <w:lang w:eastAsia="en-CA"/>
              </w:rPr>
            </w:pPr>
            <w:r w:rsidRPr="004056EE">
              <w:rPr>
                <w:rFonts w:ascii="Calibri" w:eastAsia="Times New Roman" w:hAnsi="Calibri" w:cs="Calibri"/>
                <w:color w:val="000000"/>
                <w:lang w:eastAsia="en-CA"/>
              </w:rPr>
              <w:t>Cash Flow to Profit after Tax</w:t>
            </w:r>
          </w:p>
        </w:tc>
        <w:tc>
          <w:tcPr>
            <w:tcW w:w="1160" w:type="dxa"/>
            <w:tcBorders>
              <w:top w:val="nil"/>
              <w:left w:val="nil"/>
              <w:bottom w:val="single" w:sz="4" w:space="0" w:color="auto"/>
              <w:right w:val="single" w:sz="4" w:space="0" w:color="auto"/>
            </w:tcBorders>
            <w:shd w:val="clear" w:color="auto" w:fill="auto"/>
            <w:noWrap/>
            <w:vAlign w:val="bottom"/>
            <w:hideMark/>
          </w:tcPr>
          <w:p w14:paraId="115FC501" w14:textId="4BD298BC" w:rsidR="004056EE" w:rsidRPr="004056EE" w:rsidRDefault="00324A6B" w:rsidP="004056EE">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14.97</w:t>
            </w:r>
          </w:p>
        </w:tc>
        <w:tc>
          <w:tcPr>
            <w:tcW w:w="1420" w:type="dxa"/>
            <w:tcBorders>
              <w:top w:val="nil"/>
              <w:left w:val="nil"/>
              <w:bottom w:val="single" w:sz="4" w:space="0" w:color="auto"/>
              <w:right w:val="single" w:sz="4" w:space="0" w:color="auto"/>
            </w:tcBorders>
            <w:shd w:val="clear" w:color="auto" w:fill="auto"/>
            <w:noWrap/>
            <w:vAlign w:val="bottom"/>
            <w:hideMark/>
          </w:tcPr>
          <w:p w14:paraId="22156E10" w14:textId="67F199C1" w:rsidR="004056EE" w:rsidRPr="004056EE" w:rsidRDefault="004056EE" w:rsidP="004056EE">
            <w:pPr>
              <w:spacing w:after="0" w:line="240" w:lineRule="auto"/>
              <w:jc w:val="right"/>
              <w:rPr>
                <w:rFonts w:ascii="Calibri" w:eastAsia="Times New Roman" w:hAnsi="Calibri" w:cs="Calibri"/>
                <w:color w:val="000000"/>
                <w:lang w:eastAsia="en-CA"/>
              </w:rPr>
            </w:pPr>
            <w:r w:rsidRPr="004056EE">
              <w:rPr>
                <w:rFonts w:ascii="Calibri" w:eastAsia="Times New Roman" w:hAnsi="Calibri" w:cs="Calibri"/>
                <w:color w:val="000000"/>
                <w:lang w:eastAsia="en-CA"/>
              </w:rPr>
              <w:t>6.</w:t>
            </w:r>
            <w:r w:rsidR="00324A6B">
              <w:rPr>
                <w:rFonts w:ascii="Calibri" w:eastAsia="Times New Roman" w:hAnsi="Calibri" w:cs="Calibri"/>
                <w:color w:val="000000"/>
                <w:lang w:eastAsia="en-CA"/>
              </w:rPr>
              <w:t>84</w:t>
            </w:r>
          </w:p>
        </w:tc>
        <w:tc>
          <w:tcPr>
            <w:tcW w:w="1420" w:type="dxa"/>
            <w:tcBorders>
              <w:top w:val="nil"/>
              <w:left w:val="nil"/>
              <w:bottom w:val="single" w:sz="4" w:space="0" w:color="auto"/>
              <w:right w:val="single" w:sz="4" w:space="0" w:color="auto"/>
            </w:tcBorders>
            <w:shd w:val="clear" w:color="auto" w:fill="auto"/>
            <w:noWrap/>
            <w:vAlign w:val="bottom"/>
            <w:hideMark/>
          </w:tcPr>
          <w:p w14:paraId="2B2C2638" w14:textId="434BBB3B" w:rsidR="004056EE" w:rsidRPr="004056EE" w:rsidRDefault="00324A6B" w:rsidP="00324A6B">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                7.01</w:t>
            </w:r>
          </w:p>
        </w:tc>
        <w:tc>
          <w:tcPr>
            <w:tcW w:w="1420" w:type="dxa"/>
            <w:tcBorders>
              <w:top w:val="nil"/>
              <w:left w:val="nil"/>
              <w:bottom w:val="single" w:sz="4" w:space="0" w:color="auto"/>
              <w:right w:val="single" w:sz="4" w:space="0" w:color="auto"/>
            </w:tcBorders>
            <w:shd w:val="clear" w:color="auto" w:fill="auto"/>
            <w:noWrap/>
            <w:vAlign w:val="bottom"/>
            <w:hideMark/>
          </w:tcPr>
          <w:p w14:paraId="57C2F3FB" w14:textId="30CAF09A" w:rsidR="004056EE" w:rsidRPr="004056EE" w:rsidRDefault="00324A6B" w:rsidP="00324A6B">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 xml:space="preserve">                2.61</w:t>
            </w:r>
          </w:p>
        </w:tc>
        <w:tc>
          <w:tcPr>
            <w:tcW w:w="1420" w:type="dxa"/>
            <w:tcBorders>
              <w:top w:val="nil"/>
              <w:left w:val="nil"/>
              <w:bottom w:val="single" w:sz="4" w:space="0" w:color="auto"/>
              <w:right w:val="single" w:sz="4" w:space="0" w:color="auto"/>
            </w:tcBorders>
            <w:shd w:val="clear" w:color="auto" w:fill="auto"/>
            <w:noWrap/>
            <w:vAlign w:val="bottom"/>
            <w:hideMark/>
          </w:tcPr>
          <w:p w14:paraId="6D16C284" w14:textId="61F07363" w:rsidR="004056EE" w:rsidRPr="004056EE" w:rsidRDefault="00324A6B" w:rsidP="004056EE">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9.41</w:t>
            </w:r>
          </w:p>
        </w:tc>
      </w:tr>
    </w:tbl>
    <w:p w14:paraId="4F5D167D" w14:textId="177A99C3" w:rsidR="007A243D" w:rsidRDefault="007A243D" w:rsidP="007A243D"/>
    <w:p w14:paraId="55699027" w14:textId="4DCBF87E" w:rsidR="004056EE" w:rsidRPr="009F6E50" w:rsidRDefault="004056EE" w:rsidP="004056EE">
      <w:pPr>
        <w:pStyle w:val="ListParagraph"/>
        <w:numPr>
          <w:ilvl w:val="0"/>
          <w:numId w:val="1"/>
        </w:numPr>
        <w:rPr>
          <w:b/>
          <w:bCs/>
          <w:u w:val="single"/>
        </w:rPr>
      </w:pPr>
      <w:r w:rsidRPr="009F6E50">
        <w:rPr>
          <w:rFonts w:ascii="Calibri" w:eastAsia="Times New Roman" w:hAnsi="Calibri" w:cs="Calibri"/>
          <w:b/>
          <w:bCs/>
          <w:color w:val="000000"/>
          <w:u w:val="single"/>
          <w:lang w:eastAsia="en-CA"/>
        </w:rPr>
        <w:t>Cash Flow to Profit after Tax</w:t>
      </w:r>
    </w:p>
    <w:p w14:paraId="208A4499" w14:textId="29285043" w:rsidR="007A243D" w:rsidRDefault="007A243D" w:rsidP="008F2A46">
      <w:r>
        <w:t>The ratio expresses proportions of cash being spun off from ongoing operations. This ratio is useful for the whole financial sector</w:t>
      </w:r>
      <w:r w:rsidR="00324A6B">
        <w:t xml:space="preserve">. </w:t>
      </w:r>
      <w:r w:rsidR="008F2A46">
        <w:t xml:space="preserve">This ratio also shows how well your business can convert sales to </w:t>
      </w:r>
      <w:r w:rsidR="008F2A46">
        <w:t>cash. It</w:t>
      </w:r>
      <w:r w:rsidR="008F2A46">
        <w:t xml:space="preserve"> decreased from 9.41 to 2.61 in 2018 as there was a sharp decline in the bank's cash flow from operating activities. From 2018 to 2021, it increased which indicates a positive sign that cash flow from operations improved.</w:t>
      </w:r>
    </w:p>
    <w:sectPr w:rsidR="007A24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D1EC6"/>
    <w:multiLevelType w:val="hybridMultilevel"/>
    <w:tmpl w:val="33A6C6B0"/>
    <w:lvl w:ilvl="0" w:tplc="B0B474FE">
      <w:start w:val="2"/>
      <w:numFmt w:val="decimal"/>
      <w:lvlText w:val="%1."/>
      <w:lvlJc w:val="left"/>
      <w:pPr>
        <w:ind w:left="720" w:hanging="360"/>
      </w:pPr>
      <w:rPr>
        <w:rFonts w:ascii="Calibri" w:eastAsia="Times New Roman" w:hAnsi="Calibri" w:cs="Calibri" w:hint="default"/>
        <w:b/>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C24190"/>
    <w:multiLevelType w:val="hybridMultilevel"/>
    <w:tmpl w:val="D3EEF0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861DA7"/>
    <w:multiLevelType w:val="hybridMultilevel"/>
    <w:tmpl w:val="71D8E8F2"/>
    <w:lvl w:ilvl="0" w:tplc="B0B474FE">
      <w:start w:val="3"/>
      <w:numFmt w:val="decimal"/>
      <w:lvlText w:val="%1."/>
      <w:lvlJc w:val="left"/>
      <w:pPr>
        <w:ind w:left="720" w:hanging="360"/>
      </w:pPr>
      <w:rPr>
        <w:rFonts w:ascii="Calibri" w:eastAsia="Times New Roman" w:hAnsi="Calibri" w:cs="Calibri" w:hint="default"/>
        <w:b/>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7040C0"/>
    <w:multiLevelType w:val="hybridMultilevel"/>
    <w:tmpl w:val="83D8553A"/>
    <w:lvl w:ilvl="0" w:tplc="B0B474FE">
      <w:start w:val="3"/>
      <w:numFmt w:val="decimal"/>
      <w:lvlText w:val="%1."/>
      <w:lvlJc w:val="left"/>
      <w:pPr>
        <w:ind w:left="720" w:hanging="360"/>
      </w:pPr>
      <w:rPr>
        <w:rFonts w:ascii="Calibri" w:eastAsia="Times New Roman" w:hAnsi="Calibri" w:cs="Calibri" w:hint="default"/>
        <w:b/>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DD7AE6"/>
    <w:multiLevelType w:val="hybridMultilevel"/>
    <w:tmpl w:val="8E2CC51C"/>
    <w:lvl w:ilvl="0" w:tplc="B0B474FE">
      <w:start w:val="3"/>
      <w:numFmt w:val="decimal"/>
      <w:lvlText w:val="%1."/>
      <w:lvlJc w:val="left"/>
      <w:pPr>
        <w:ind w:left="720" w:hanging="360"/>
      </w:pPr>
      <w:rPr>
        <w:rFonts w:ascii="Calibri" w:eastAsia="Times New Roman" w:hAnsi="Calibri" w:cs="Calibri" w:hint="default"/>
        <w:b/>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BA55752"/>
    <w:multiLevelType w:val="hybridMultilevel"/>
    <w:tmpl w:val="2306F9F6"/>
    <w:lvl w:ilvl="0" w:tplc="0A0604E8">
      <w:start w:val="1"/>
      <w:numFmt w:val="decimal"/>
      <w:lvlText w:val="%1."/>
      <w:lvlJc w:val="left"/>
      <w:pPr>
        <w:ind w:left="927" w:hanging="360"/>
      </w:pPr>
      <w:rPr>
        <w:rFonts w:ascii="Calibri" w:eastAsia="Times New Roman" w:hAnsi="Calibri" w:cs="Calibri" w:hint="default"/>
        <w:b/>
        <w:bCs/>
        <w:color w:val="000000"/>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AF62AB"/>
    <w:multiLevelType w:val="hybridMultilevel"/>
    <w:tmpl w:val="1826B7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F3D4616"/>
    <w:multiLevelType w:val="hybridMultilevel"/>
    <w:tmpl w:val="D42ACE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20914704">
    <w:abstractNumId w:val="6"/>
  </w:num>
  <w:num w:numId="2" w16cid:durableId="1025598062">
    <w:abstractNumId w:val="7"/>
  </w:num>
  <w:num w:numId="3" w16cid:durableId="1405881706">
    <w:abstractNumId w:val="1"/>
  </w:num>
  <w:num w:numId="4" w16cid:durableId="5065107">
    <w:abstractNumId w:val="4"/>
  </w:num>
  <w:num w:numId="5" w16cid:durableId="127434048">
    <w:abstractNumId w:val="3"/>
  </w:num>
  <w:num w:numId="6" w16cid:durableId="2122920436">
    <w:abstractNumId w:val="0"/>
  </w:num>
  <w:num w:numId="7" w16cid:durableId="369064435">
    <w:abstractNumId w:val="2"/>
  </w:num>
  <w:num w:numId="8" w16cid:durableId="9839713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43D"/>
    <w:rsid w:val="000C788A"/>
    <w:rsid w:val="00144575"/>
    <w:rsid w:val="001C0FEB"/>
    <w:rsid w:val="001C6054"/>
    <w:rsid w:val="00324A6B"/>
    <w:rsid w:val="004056EE"/>
    <w:rsid w:val="00452DF4"/>
    <w:rsid w:val="00531584"/>
    <w:rsid w:val="005343C2"/>
    <w:rsid w:val="005820F8"/>
    <w:rsid w:val="00593007"/>
    <w:rsid w:val="006538C7"/>
    <w:rsid w:val="006851DC"/>
    <w:rsid w:val="006A00DA"/>
    <w:rsid w:val="007A243D"/>
    <w:rsid w:val="007C1196"/>
    <w:rsid w:val="008E21F9"/>
    <w:rsid w:val="008F2A46"/>
    <w:rsid w:val="009B5E00"/>
    <w:rsid w:val="009F6E50"/>
    <w:rsid w:val="00D35268"/>
    <w:rsid w:val="00D56767"/>
    <w:rsid w:val="00D8716C"/>
    <w:rsid w:val="00DD0FCC"/>
    <w:rsid w:val="00E03525"/>
    <w:rsid w:val="00E749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B06F"/>
  <w15:chartTrackingRefBased/>
  <w15:docId w15:val="{4D782885-2521-41F0-A56C-69F7F782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95396">
      <w:bodyDiv w:val="1"/>
      <w:marLeft w:val="0"/>
      <w:marRight w:val="0"/>
      <w:marTop w:val="0"/>
      <w:marBottom w:val="0"/>
      <w:divBdr>
        <w:top w:val="none" w:sz="0" w:space="0" w:color="auto"/>
        <w:left w:val="none" w:sz="0" w:space="0" w:color="auto"/>
        <w:bottom w:val="none" w:sz="0" w:space="0" w:color="auto"/>
        <w:right w:val="none" w:sz="0" w:space="0" w:color="auto"/>
      </w:divBdr>
    </w:div>
    <w:div w:id="409931323">
      <w:bodyDiv w:val="1"/>
      <w:marLeft w:val="0"/>
      <w:marRight w:val="0"/>
      <w:marTop w:val="0"/>
      <w:marBottom w:val="0"/>
      <w:divBdr>
        <w:top w:val="none" w:sz="0" w:space="0" w:color="auto"/>
        <w:left w:val="none" w:sz="0" w:space="0" w:color="auto"/>
        <w:bottom w:val="none" w:sz="0" w:space="0" w:color="auto"/>
        <w:right w:val="none" w:sz="0" w:space="0" w:color="auto"/>
      </w:divBdr>
    </w:div>
    <w:div w:id="592476834">
      <w:bodyDiv w:val="1"/>
      <w:marLeft w:val="0"/>
      <w:marRight w:val="0"/>
      <w:marTop w:val="0"/>
      <w:marBottom w:val="0"/>
      <w:divBdr>
        <w:top w:val="none" w:sz="0" w:space="0" w:color="auto"/>
        <w:left w:val="none" w:sz="0" w:space="0" w:color="auto"/>
        <w:bottom w:val="none" w:sz="0" w:space="0" w:color="auto"/>
        <w:right w:val="none" w:sz="0" w:space="0" w:color="auto"/>
      </w:divBdr>
    </w:div>
    <w:div w:id="680279091">
      <w:bodyDiv w:val="1"/>
      <w:marLeft w:val="0"/>
      <w:marRight w:val="0"/>
      <w:marTop w:val="0"/>
      <w:marBottom w:val="0"/>
      <w:divBdr>
        <w:top w:val="none" w:sz="0" w:space="0" w:color="auto"/>
        <w:left w:val="none" w:sz="0" w:space="0" w:color="auto"/>
        <w:bottom w:val="none" w:sz="0" w:space="0" w:color="auto"/>
        <w:right w:val="none" w:sz="0" w:space="0" w:color="auto"/>
      </w:divBdr>
    </w:div>
    <w:div w:id="1169903709">
      <w:bodyDiv w:val="1"/>
      <w:marLeft w:val="0"/>
      <w:marRight w:val="0"/>
      <w:marTop w:val="0"/>
      <w:marBottom w:val="0"/>
      <w:divBdr>
        <w:top w:val="none" w:sz="0" w:space="0" w:color="auto"/>
        <w:left w:val="none" w:sz="0" w:space="0" w:color="auto"/>
        <w:bottom w:val="none" w:sz="0" w:space="0" w:color="auto"/>
        <w:right w:val="none" w:sz="0" w:space="0" w:color="auto"/>
      </w:divBdr>
    </w:div>
    <w:div w:id="1179853727">
      <w:bodyDiv w:val="1"/>
      <w:marLeft w:val="0"/>
      <w:marRight w:val="0"/>
      <w:marTop w:val="0"/>
      <w:marBottom w:val="0"/>
      <w:divBdr>
        <w:top w:val="none" w:sz="0" w:space="0" w:color="auto"/>
        <w:left w:val="none" w:sz="0" w:space="0" w:color="auto"/>
        <w:bottom w:val="none" w:sz="0" w:space="0" w:color="auto"/>
        <w:right w:val="none" w:sz="0" w:space="0" w:color="auto"/>
      </w:divBdr>
    </w:div>
    <w:div w:id="1438255104">
      <w:bodyDiv w:val="1"/>
      <w:marLeft w:val="0"/>
      <w:marRight w:val="0"/>
      <w:marTop w:val="0"/>
      <w:marBottom w:val="0"/>
      <w:divBdr>
        <w:top w:val="none" w:sz="0" w:space="0" w:color="auto"/>
        <w:left w:val="none" w:sz="0" w:space="0" w:color="auto"/>
        <w:bottom w:val="none" w:sz="0" w:space="0" w:color="auto"/>
        <w:right w:val="none" w:sz="0" w:space="0" w:color="auto"/>
      </w:divBdr>
    </w:div>
    <w:div w:id="157909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R</dc:creator>
  <cp:keywords/>
  <dc:description/>
  <cp:lastModifiedBy>SONY</cp:lastModifiedBy>
  <cp:revision>2</cp:revision>
  <dcterms:created xsi:type="dcterms:W3CDTF">2022-12-23T15:39:00Z</dcterms:created>
  <dcterms:modified xsi:type="dcterms:W3CDTF">2022-12-23T15:39:00Z</dcterms:modified>
</cp:coreProperties>
</file>