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66666"/>
          <w:sz w:val="18"/>
          <w:szCs w:val="18"/>
        </w:rPr>
        <w:t xml:space="preserve">PRELIMINARY ABSTRACT (DRAFT)</w:t>
      </w:r>
    </w:p>
    <w:p>
      <w:pPr>
        <w:spacing w:after="100" w:line="300"/>
      </w:pPr>
      <w:r>
        <w:rPr>
          <w:b/>
          <w:bCs/>
          <w:sz w:val="28"/>
          <w:szCs w:val="28"/>
        </w:rPr>
        <w:t xml:space="preserve">A First Look at Mechanisms of AAV Colloidal Stability: Bridging kD Measurements and Molecular Dynamics</w:t>
      </w:r>
    </w:p>
    <w:p>
      <w:pPr>
        <w:spacing w:after="240"/>
      </w:pPr>
      <w:r>
        <w:rPr>
          <w:sz w:val="22"/>
          <w:szCs w:val="22"/>
        </w:rPr>
        <w:t xml:space="preserve">Maximilian Wang</w:t>
      </w:r>
    </w:p>
    <w:p>
      <w:pPr>
        <w:spacing w:after="120"/>
      </w:pPr>
      <w:r>
        <w:rPr>
          <w:b/>
          <w:bCs/>
          <w:sz w:val="24"/>
          <w:szCs w:val="24"/>
        </w:rPr>
        <w:t xml:space="preserve">Abstract</w:t>
      </w:r>
    </w:p>
    <w:p>
      <w:pPr>
        <w:spacing w:after="120" w:line="480"/>
        <w:jc w:val="both"/>
      </w:pPr>
      <w:r>
        <w:rPr>
          <w:sz w:val="24"/>
          <w:szCs w:val="24"/>
        </w:rPr>
        <w:t xml:space="preserve">Adeno-associated virus (AAV) formulation development is hampered by a poor mechanistic understanding of how excipients confer colloidal stability. Here we develop the first diffusion interaction parameter (kD) measurements for AAVs and pair them with all-atom molecular dynamics (MD) simulations to resolve the underlying stabilizing mechanisms. After screening three biophysical instruments, we established a reliable dynamic light scattering workflow on the Wyatt DynaPro Plate Reader III, enabling triplicate kD measurement at approximately 0.4 mg/mL. Applied to AAV1 and AAV8 case studies, kD recovered expected pH- and salt-dependent stability trends and ranked AAV1 formulations in agreement with one-month high-throughput stability outcomes. Complementary MD simulations of the AAV1 capsid identified the highly solvent-exposed 3-fold protrusion tips as the most aggregation-prone region. Electrostatic analysis showed that pH 6 improves shielding of oppositely charged surface patches relative to pH 8, while preferential interaction coefficient and hydrogen-bonding analyses revealed that sucrose preferentially accumulates at and hydrogen-bonds to these aggregation-prone tips. Together, kD and MD provide a convergent, mechanistic account of AAV colloidal stability, showing that sucrose stabilizes the 3-fold protrusions through preferential interaction and hydrogen bonding, and offering a framework to guide rational formulation of challenging AAV products.</w:t>
      </w:r>
    </w:p>
    <w:p>
      <w:pPr>
        <w:spacing w:after="240"/>
      </w:pPr>
      <w:r>
        <w:rPr>
          <w:i/>
          <w:iCs/>
          <w:color w:val="666666"/>
          <w:sz w:val="18"/>
          <w:szCs w:val="18"/>
        </w:rPr>
        <w:t xml:space="preserve">[Word count: 192 / 200 max]</w:t>
      </w:r>
    </w:p>
    <w:p>
      <w:pPr>
        <w:spacing w:after="360" w:line="360"/>
      </w:pPr>
      <w:r>
        <w:rPr>
          <w:b/>
          <w:bCs/>
          <w:sz w:val="22"/>
          <w:szCs w:val="22"/>
        </w:rPr>
        <w:t xml:space="preserve">Keywords: </w:t>
      </w:r>
      <w:r>
        <w:rPr>
          <w:sz w:val="22"/>
          <w:szCs w:val="22"/>
        </w:rPr>
        <w:t xml:space="preserve">adeno-associated virus (AAV); colloidal stability; diffusion interaction parameter (kD); molecular dynamics; formulation development; excipients; sucrose; preferential interaction</w:t>
      </w:r>
    </w:p>
    <w:p>
      <w:pPr>
        <w:spacing w:after="120"/>
      </w:pPr>
      <w:r>
        <w:rPr>
          <w:b/>
          <w:bCs/>
          <w:sz w:val="24"/>
          <w:szCs w:val="24"/>
        </w:rPr>
        <w:t xml:space="preserve">References</w:t>
      </w:r>
    </w:p>
    <w:p>
      <w:pPr>
        <w:spacing w:after="160" w:line="360"/>
      </w:pPr>
      <w:r>
        <w:rPr>
          <w:sz w:val="22"/>
          <w:szCs w:val="22"/>
        </w:rPr>
        <w:t xml:space="preserve">1. </w:t>
      </w:r>
      <w:r>
        <w:rPr>
          <w:sz w:val="22"/>
          <w:szCs w:val="22"/>
        </w:rPr>
        <w:t xml:space="preserve">Fraser, J., et al. (2005). Identification of factors that contribute to recombinant AAV2 particle aggregation and methods to prevent its occurrence during vector purification and formulation. Mol. Ther. 12, 171–178. </w:t>
      </w:r>
      <w:hyperlink w:history="1" r:id="rIdjnawq6oya3kvosl82u00i">
        <w:r>
          <w:rPr>
            <w:rStyle w:val="Hyperlink"/>
            <w:sz w:val="22"/>
            <w:szCs w:val="22"/>
          </w:rPr>
          <w:t xml:space="preserve">https://doi.org/10.1016/j.ymthe.2005.02.021</w:t>
        </w:r>
      </w:hyperlink>
    </w:p>
    <w:p>
      <w:pPr>
        <w:spacing w:after="160" w:line="360"/>
      </w:pPr>
      <w:r>
        <w:rPr>
          <w:sz w:val="22"/>
          <w:szCs w:val="22"/>
        </w:rPr>
        <w:t xml:space="preserve">2. </w:t>
      </w:r>
      <w:r>
        <w:rPr>
          <w:sz w:val="22"/>
          <w:szCs w:val="22"/>
        </w:rPr>
        <w:t xml:space="preserve">Agmo Hernández, V. (2023). An overview of surface forces and the DLVO theory. ChemTexts 9, 10. </w:t>
      </w:r>
      <w:hyperlink w:history="1" r:id="rIdt-4hm2_7qkobeapmwz3c8">
        <w:r>
          <w:rPr>
            <w:rStyle w:val="Hyperlink"/>
            <w:sz w:val="22"/>
            <w:szCs w:val="22"/>
          </w:rPr>
          <w:t xml:space="preserve">https://doi.org/10.1007/s40828-023-00182-9</w:t>
        </w:r>
      </w:hyperlink>
    </w:p>
    <w:p>
      <w:pPr>
        <w:spacing w:after="160" w:line="360"/>
      </w:pPr>
      <w:r>
        <w:rPr>
          <w:sz w:val="22"/>
          <w:szCs w:val="22"/>
        </w:rPr>
        <w:t xml:space="preserve">3. </w:t>
      </w:r>
      <w:r>
        <w:rPr>
          <w:sz w:val="22"/>
          <w:szCs w:val="22"/>
        </w:rPr>
        <w:t xml:space="preserve">He, F., et al. (2011). High-throughput assessment of thermal and colloidal stability parameters for monoclonal antibody formulations. J. Pharm. Sci. 100, 5126–5141. </w:t>
      </w:r>
      <w:hyperlink w:history="1" r:id="rIdiyefexcwgubgseuvcpdqp">
        <w:r>
          <w:rPr>
            <w:rStyle w:val="Hyperlink"/>
            <w:sz w:val="22"/>
            <w:szCs w:val="22"/>
          </w:rPr>
          <w:t xml:space="preserve">https://doi.org/10.1002/jps.22712</w:t>
        </w:r>
      </w:hyperlink>
    </w:p>
    <w:p>
      <w:pPr>
        <w:spacing w:after="160" w:line="360"/>
      </w:pPr>
      <w:r>
        <w:rPr>
          <w:sz w:val="22"/>
          <w:szCs w:val="22"/>
        </w:rPr>
        <w:t xml:space="preserve">4. </w:t>
      </w:r>
      <w:r>
        <w:rPr>
          <w:sz w:val="22"/>
          <w:szCs w:val="22"/>
        </w:rPr>
        <w:t xml:space="preserve">Roberts, D., Keeling, R., Tracka, M., van der Walle, C.F., Uddin, S., Warwicker, J., and Curtis, R. (2014). The role of electrostatics in protein–protein interactions of a monoclonal antibody. Mol. Pharm. 11, 2475–2489. </w:t>
      </w:r>
      <w:hyperlink w:history="1" r:id="rIdyulcqg9v9kvpifcidvyol">
        <w:r>
          <w:rPr>
            <w:rStyle w:val="Hyperlink"/>
            <w:sz w:val="22"/>
            <w:szCs w:val="22"/>
          </w:rPr>
          <w:t xml:space="preserve">https://doi.org/10.1021/mp5002334</w:t>
        </w:r>
      </w:hyperlink>
    </w:p>
    <w:p>
      <w:pPr>
        <w:spacing w:after="160" w:line="360"/>
      </w:pPr>
      <w:r>
        <w:rPr>
          <w:sz w:val="22"/>
          <w:szCs w:val="22"/>
        </w:rPr>
        <w:t xml:space="preserve">5. </w:t>
      </w:r>
      <w:r>
        <w:rPr>
          <w:sz w:val="22"/>
          <w:szCs w:val="22"/>
        </w:rPr>
        <w:t xml:space="preserve">Cloutier, T., Sudrik, C., Mody, N., Sathish, H.A., and Trout, B.L. (2019). Molecular computations of preferential interaction coefficients of IgG1 monoclonal antibodies with sorbitol, sucrose, and trehalose and the impact of these excipients on aggregation and viscosity. Mol. Pharm. 16, 3657–3664. </w:t>
      </w:r>
      <w:hyperlink w:history="1" r:id="rIdedkpsg9vcecxjk5uc87u5">
        <w:r>
          <w:rPr>
            <w:rStyle w:val="Hyperlink"/>
            <w:sz w:val="22"/>
            <w:szCs w:val="22"/>
          </w:rPr>
          <w:t xml:space="preserve">https://doi.org/10.1021/acs.molpharmaceut.9b00545</w:t>
        </w:r>
      </w:hyperlink>
    </w:p>
    <w:p>
      <w:pPr>
        <w:spacing w:after="160" w:line="360"/>
      </w:pPr>
      <w:r>
        <w:rPr>
          <w:sz w:val="22"/>
          <w:szCs w:val="22"/>
        </w:rPr>
        <w:t xml:space="preserve">6. </w:t>
      </w:r>
      <w:r>
        <w:rPr>
          <w:sz w:val="22"/>
          <w:szCs w:val="22"/>
        </w:rPr>
        <w:t xml:space="preserve">Chennamsetty, N., Voynov, V., Kayser, V., Helk, B., and Trout, B.L. (2010). Prediction of aggregation prone regions of therapeutic proteins. J. Phys. Chem. B 114, 6614–6624. </w:t>
      </w:r>
      <w:hyperlink w:history="1" r:id="rId6tepdnzrhldnzd0j7zzvp">
        <w:r>
          <w:rPr>
            <w:rStyle w:val="Hyperlink"/>
            <w:sz w:val="22"/>
            <w:szCs w:val="22"/>
          </w:rPr>
          <w:t xml:space="preserve">https://doi.org/10.1021/jp911706q</w:t>
        </w:r>
      </w:hyperlink>
    </w:p>
    <w:p>
      <w:pPr>
        <w:spacing w:after="160" w:line="360"/>
      </w:pPr>
      <w:r>
        <w:rPr>
          <w:sz w:val="22"/>
          <w:szCs w:val="22"/>
        </w:rPr>
        <w:t xml:space="preserve">7. </w:t>
      </w:r>
      <w:r>
        <w:rPr>
          <w:sz w:val="22"/>
          <w:szCs w:val="22"/>
        </w:rPr>
        <w:t xml:space="preserve">Venkatakrishnan, B., et al. (2013). Structure and dynamics of adeno-associated virus serotype 1 VP1-unique N-terminal domain and its role in capsid trafficking. J. Virol. 87, 4974–4984. </w:t>
      </w:r>
      <w:hyperlink w:history="1" r:id="rIdv7vmczwnfrwnuzyct_vus">
        <w:r>
          <w:rPr>
            <w:rStyle w:val="Hyperlink"/>
            <w:sz w:val="22"/>
            <w:szCs w:val="22"/>
          </w:rPr>
          <w:t xml:space="preserve">https://doi.org/10.1128/jvi.02524-12</w:t>
        </w:r>
      </w:hyperlink>
    </w:p>
    <w:p>
      <w:pPr>
        <w:spacing w:after="160" w:line="360"/>
      </w:pPr>
      <w:r>
        <w:rPr>
          <w:sz w:val="22"/>
          <w:szCs w:val="22"/>
        </w:rPr>
        <w:t xml:space="preserve">8. </w:t>
      </w:r>
      <w:r>
        <w:rPr>
          <w:sz w:val="22"/>
          <w:szCs w:val="22"/>
        </w:rPr>
        <w:t xml:space="preserve">Li, S., Wang, X., Zhi, L., Shameem, M., and Liu, D. (2026). A high-throughput automation platform for accelerated AAV stability optimization. Pharmaceutics 18, 608. </w:t>
      </w:r>
      <w:hyperlink w:history="1" r:id="rIdilraqdmbsberiifqvjsst">
        <w:r>
          <w:rPr>
            <w:rStyle w:val="Hyperlink"/>
            <w:sz w:val="22"/>
            <w:szCs w:val="22"/>
          </w:rPr>
          <w:t xml:space="preserve">https://doi.org/10.3390/pharmaceutics18050608</w:t>
        </w:r>
      </w:hyperlink>
    </w:p>
    <w:p>
      <w:pPr>
        <w:spacing w:before="240" w:line="300"/>
      </w:pPr>
      <w:r>
        <w:rPr>
          <w:i/>
          <w:iCs/>
          <w:color w:val="666666"/>
          <w:sz w:val="18"/>
          <w:szCs w:val="18"/>
        </w:rPr>
        <w:t xml:space="preserve">Note: References are compiled from the citations embedded in the source presentation and are listed in order of first appearance. Formatting will need to be converted to the target journal's style before submission (Cell Press / Molecular Therapy uses superscript numeric citation with the first 10 authors listed; Nature / Gene Therapy uses Vancouver style with the first 6 authors listed).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awq6oya3kvosl82u00i" Type="http://schemas.openxmlformats.org/officeDocument/2006/relationships/hyperlink" Target="https://doi.org/10.1016/j.ymthe.2005.02.021" TargetMode="External"/><Relationship Id="rIdt-4hm2_7qkobeapmwz3c8" Type="http://schemas.openxmlformats.org/officeDocument/2006/relationships/hyperlink" Target="https://doi.org/10.1007/s40828-023-00182-9" TargetMode="External"/><Relationship Id="rIdiyefexcwgubgseuvcpdqp" Type="http://schemas.openxmlformats.org/officeDocument/2006/relationships/hyperlink" Target="https://doi.org/10.1002/jps.22712" TargetMode="External"/><Relationship Id="rIdyulcqg9v9kvpifcidvyol" Type="http://schemas.openxmlformats.org/officeDocument/2006/relationships/hyperlink" Target="https://doi.org/10.1021/mp5002334" TargetMode="External"/><Relationship Id="rIdedkpsg9vcecxjk5uc87u5" Type="http://schemas.openxmlformats.org/officeDocument/2006/relationships/hyperlink" Target="https://doi.org/10.1021/acs.molpharmaceut.9b00545" TargetMode="External"/><Relationship Id="rId6tepdnzrhldnzd0j7zzvp" Type="http://schemas.openxmlformats.org/officeDocument/2006/relationships/hyperlink" Target="https://doi.org/10.1021/jp911706q" TargetMode="External"/><Relationship Id="rIdv7vmczwnfrwnuzyct_vus" Type="http://schemas.openxmlformats.org/officeDocument/2006/relationships/hyperlink" Target="https://doi.org/10.1128/jvi.02524-12" TargetMode="External"/><Relationship Id="rIdilraqdmbsberiifqvjsst" Type="http://schemas.openxmlformats.org/officeDocument/2006/relationships/hyperlink" Target="https://doi.org/10.3390/pharmaceutics18050608"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2026-08-07T14:30:48.163Z</dcterms:created>
  <dcterms:modified xsi:type="dcterms:W3CDTF">2026-08-07T14:30:48.183Z</dcterms:modified>
</cp:coreProperties>
</file>

<file path=docProps/custom.xml><?xml version="1.0" encoding="utf-8"?>
<Properties xmlns="http://schemas.openxmlformats.org/officeDocument/2006/custom-properties" xmlns:vt="http://schemas.openxmlformats.org/officeDocument/2006/docPropsVTypes"/>
</file>