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C00000"/>
          <w:sz w:val="20"/>
          <w:szCs w:val="20"/>
        </w:rPr>
        <w:t xml:space="preserve">MANUSCRIPT DRAFT — NOT FOR SUBMISSION</w:t>
      </w:r>
    </w:p>
    <w:p>
      <w:pPr>
        <w:spacing w:after="240" w:line="480"/>
      </w:pPr>
      <w:r>
        <w:rPr>
          <w:b/>
          <w:bCs/>
          <w:sz w:val="28"/>
          <w:szCs w:val="28"/>
        </w:rPr>
        <w:t xml:space="preserve">Mechanisms of Adeno-Associated Virus Colloidal Stability: Bridging Diffusion Interaction Parameter Measurements and Molecular Dynamics Simulations</w:t>
      </w:r>
    </w:p>
    <w:p>
      <w:pPr>
        <w:spacing w:after="120" w:line="360"/>
      </w:pPr>
      <w:r>
        <w:rPr>
          <w:b/>
          <w:bCs/>
          <w:color w:val="C00000"/>
          <w:sz w:val="24"/>
          <w:szCs w:val="24"/>
        </w:rPr>
        <w:t xml:space="preserve"> [NEEDS INPUT: Author list with full names. Indicate affiliations numerically with superscript numbers placed after author names. Indicate equal contribution with an asterisk and a note beneath the address list if applicable.] </w:t>
      </w:r>
    </w:p>
    <w:p>
      <w:pPr>
        <w:spacing w:after="120" w:line="360"/>
      </w:pPr>
      <w:r>
        <w:rPr>
          <w:b/>
          <w:bCs/>
          <w:color w:val="C00000"/>
          <w:sz w:val="24"/>
          <w:szCs w:val="24"/>
        </w:rPr>
        <w:t xml:space="preserve"> [NEEDS INPUT: Affiliations, including department, institution, city, state/country.] </w:t>
      </w:r>
    </w:p>
    <w:p>
      <w:pPr>
        <w:spacing w:after="120" w:line="360"/>
      </w:pPr>
      <w:r>
        <w:rPr>
          <w:b/>
          <w:bCs/>
          <w:color w:val="C00000"/>
          <w:sz w:val="24"/>
          <w:szCs w:val="24"/>
        </w:rPr>
        <w:t xml:space="preserve"> [NEEDS INPUT: City, state, and country in which the work was done.] </w:t>
      </w:r>
    </w:p>
    <w:p>
      <w:pPr>
        <w:spacing w:after="120" w:line="360"/>
      </w:pPr>
      <w:r>
        <w:rPr>
          <w:b/>
          <w:bCs/>
          <w:color w:val="C00000"/>
          <w:sz w:val="24"/>
          <w:szCs w:val="24"/>
        </w:rPr>
        <w:t xml:space="preserve"> [NEEDS INPUT: Corresponding author name, institutional address, telephone, and institutional email. Molecular Therapy requires the format: 'Correspondence should be addressed to A.S. (email).' Gene Therapy requires the corresponding author email on the title page.] </w:t>
      </w:r>
    </w:p>
    <w:p>
      <w:pPr>
        <w:spacing w:after="240" w:before="120" w:line="360"/>
      </w:pPr>
      <w:r>
        <w:rPr>
          <w:b/>
          <w:bCs/>
          <w:sz w:val="24"/>
          <w:szCs w:val="24"/>
        </w:rPr>
        <w:t xml:space="preserve">Short title: </w:t>
      </w:r>
      <w:r>
        <w:rPr>
          <w:sz w:val="24"/>
          <w:szCs w:val="24"/>
        </w:rPr>
        <w:t xml:space="preserve">Mechanisms of AAV colloidal stability</w:t>
      </w:r>
      <w:r>
        <w:rPr>
          <w:i/>
          <w:iCs/>
          <w:color w:val="595959"/>
          <w:sz w:val="20"/>
          <w:szCs w:val="20"/>
        </w:rPr>
        <w:t xml:space="preserve">  (37 characters)</w:t>
      </w:r>
    </w:p>
    <w:p>
      <w:pPr>
        <w:spacing w:after="120" w:before="120" w:line="300"/>
      </w:pPr>
      <w:r>
        <w:rPr>
          <w:i/>
          <w:iCs/>
          <w:color w:val="595959"/>
          <w:sz w:val="20"/>
          <w:szCs w:val="20"/>
        </w:rPr>
        <w:t xml:space="preserve">Title-page formatting differs between the two target journals and must be finalized after the journal is chosen. Molecular Therapy: title of three lines maximum at 47 characters per line, plus a short title of 50 characters or fewer. Gene Therapy: title of 150 characters or fewer that does not state a conclusion. The working title above is 146 characters and will need to be shortened for either target.</w:t>
      </w:r>
    </w:p>
    <w:p>
      <w:r>
        <w:br w:type="page"/>
      </w:r>
    </w:p>
    <w:p>
      <w:pPr>
        <w:keepNext/>
        <w:spacing w:after="180" w:before="360"/>
      </w:pPr>
      <w:r>
        <w:rPr>
          <w:b/>
          <w:bCs/>
          <w:sz w:val="24"/>
          <w:szCs w:val="24"/>
        </w:rPr>
        <w:t xml:space="preserve">ABSTRACT</w:t>
      </w:r>
    </w:p>
    <w:p>
      <w:pPr>
        <w:spacing w:after="120" w:line="480"/>
        <w:jc w:val="both"/>
      </w:pPr>
      <w:r>
        <w:rPr>
          <w:sz w:val="24"/>
          <w:szCs w:val="24"/>
        </w:rPr>
        <w:t xml:space="preserve">Adeno-associated virus (AAV) formulation development is hampered by a poor mechanistic understanding of how excipients confer colloidal stability. Here we develop the first diffusion interaction parameter (kD) measurements for AAVs and pair them with all-atom molecular dynamics (MD) simulations to resolve the underlying stabilizing mechanisms. After screening three biophysical instruments, we established a reliable dynamic light scattering workflow on the Wyatt DynaPro Plate Reader III, enabling triplicate kD measurement at approximately 0.4 mg/mL. Applied to AAV1 and AAV8 case studies, kD recovered expected pH- and salt-dependent stability trends and ranked AAV1 formulations in agreement with one-month high-throughput stability outcomes. Complementary MD simulations of the AAV1 capsid identified the highly solvent-exposed 3-fold protrusion tips as the most aggregation-prone region. Electrostatic analysis showed that pH 6 improves shielding of oppositely charged surface patches relative to pH 8, while preferential interaction coefficient and hydrogen-bonding analyses revealed that sucrose preferentially accumulates at and hydrogen-bonds to these aggregation-prone tips. Together, kD and MD provide a convergent, mechanistic account of AAV colloidal stability, showing that sucrose stabilizes the 3-fold protrusions through preferential interaction and hydrogen bonding, and offering a framework to guide rational formulation of challenging AAV products.</w:t>
      </w:r>
    </w:p>
    <w:p>
      <w:pPr>
        <w:spacing w:after="240"/>
      </w:pPr>
      <w:r>
        <w:rPr>
          <w:i/>
          <w:iCs/>
          <w:color w:val="595959"/>
          <w:sz w:val="20"/>
          <w:szCs w:val="20"/>
        </w:rPr>
        <w:t xml:space="preserve">[Word count: 192 / 200 maximum — compliant with both journals]</w:t>
      </w:r>
    </w:p>
    <w:p>
      <w:pPr>
        <w:spacing w:after="240" w:line="360"/>
      </w:pPr>
      <w:r>
        <w:rPr>
          <w:b/>
          <w:bCs/>
          <w:sz w:val="24"/>
          <w:szCs w:val="24"/>
        </w:rPr>
        <w:t xml:space="preserve">Keywords: </w:t>
      </w:r>
      <w:r>
        <w:rPr>
          <w:sz w:val="24"/>
          <w:szCs w:val="24"/>
        </w:rPr>
        <w:t xml:space="preserve">adeno-associated virus (AAV); colloidal stability; diffusion interaction parameter (kD); molecular dynamics; formulation development; excipients; sucrose; preferential interaction; spatial aggregation propensity</w:t>
      </w:r>
    </w:p>
    <w:p>
      <w:r>
        <w:br w:type="page"/>
      </w:r>
    </w:p>
    <w:p>
      <w:pPr>
        <w:keepNext/>
        <w:spacing w:after="180" w:before="360"/>
      </w:pPr>
      <w:r>
        <w:rPr>
          <w:b/>
          <w:bCs/>
          <w:sz w:val="24"/>
          <w:szCs w:val="24"/>
        </w:rPr>
        <w:t xml:space="preserve">INTRODUCTION</w:t>
      </w:r>
    </w:p>
    <w:p>
      <w:pPr>
        <w:spacing w:after="0" w:line="480"/>
      </w:pPr>
      <w:r>
        <w:rPr>
          <w:sz w:val="24"/>
          <w:szCs w:val="24"/>
        </w:rPr>
        <w:t xml:space="preserve">Recombinant adeno-associated virus (AAV) has become a leading delivery vehicle for in vivo gene therapy, but its formulation development remains substantially more empirical than that of established biologic modalities. AAV physicochemical properties vary widely across serotypes, genome titers, and engineered capsids, and this heterogeneity means that formulation knowledge developed for one construct frequently fails to transfer to the next. Particle aggregation is a recurring liability across this space and has been shown to compromise recovery and potency during purification and formulation.</w:t>
      </w:r>
      <w:r>
        <w:rPr>
          <w:sz w:val="24"/>
          <w:szCs w:val="24"/>
          <w:vertAlign w:val="superscript"/>
        </w:rPr>
        <w:t xml:space="preserve">1</w:t>
      </w:r>
    </w:p>
    <w:p>
      <w:pPr>
        <w:spacing w:after="0" w:line="480"/>
      </w:pPr>
      <w:r>
        <w:rPr>
          <w:sz w:val="24"/>
          <w:szCs w:val="24"/>
        </w:rPr>
        <w:t xml:space="preserve">High-throughput screening (HTS) and automation platforms have partially addressed this problem by allowing large formulation spaces—buffer and pH ranges, salts, cryoprotectants, and surfactants—to be surveyed rapidly.</w:t>
      </w:r>
      <w:r>
        <w:rPr>
          <w:sz w:val="24"/>
          <w:szCs w:val="24"/>
          <w:vertAlign w:val="superscript"/>
        </w:rPr>
        <w:t xml:space="preserve">2</w:t>
      </w:r>
      <w:r>
        <w:rPr>
          <w:sz w:val="24"/>
          <w:szCs w:val="24"/>
        </w:rPr>
        <w:t xml:space="preserve"> These platforms efficiently identify which conditions perform well, typically by tracking endpoints such as particle size change and genome titer recovery over a defined stability interval. What they do not provide is an explanation of why a given condition performs well. The direct stabilizing mechanism of a formulation component remains, in most cases, unresolved. This limits extrapolation: a screening campaign must be repeated in full for each new serotype or capsid variant, because the underlying physical basis of the observed trends is not known.</w:t>
      </w:r>
    </w:p>
    <w:p>
      <w:pPr>
        <w:spacing w:after="0" w:line="480"/>
      </w:pPr>
      <w:r>
        <w:rPr>
          <w:sz w:val="24"/>
          <w:szCs w:val="24"/>
        </w:rPr>
        <w:t xml:space="preserve">Colloidal stability offers a productive framework for closing this gap. Particle–particle interaction is a principal determinant of aggregation propensity, and the net interaction reflects a sum of nonspecific forces—electrostatic repulsion, van der Waals attraction, and hydrophobic attraction, among others—as described by DLVO theory.</w:t>
      </w:r>
      <w:r>
        <w:rPr>
          <w:sz w:val="24"/>
          <w:szCs w:val="24"/>
          <w:vertAlign w:val="superscript"/>
        </w:rPr>
        <w:t xml:space="preserve">3</w:t>
      </w:r>
      <w:r>
        <w:rPr>
          <w:sz w:val="24"/>
          <w:szCs w:val="24"/>
        </w:rPr>
        <w:t xml:space="preserve"> In the monoclonal antibody (mAb) field, two parameters have proven especially useful for quantifying this net interaction: the diffusion interaction parameter (kD), obtained from the concentration dependence of the mutual diffusion coefficient measured by dynamic light scattering (DLS), and the second virial coefficient (B22), obtained from static light scattering. Higher kD is associated with reduced particulation, and higher B22 with slower aggregation, in mAb formulations.</w:t>
      </w:r>
      <w:r>
        <w:rPr>
          <w:sz w:val="24"/>
          <w:szCs w:val="24"/>
          <w:vertAlign w:val="superscript"/>
        </w:rPr>
        <w:t xml:space="preserve">4</w:t>
      </w:r>
      <w:r>
        <w:rPr>
          <w:sz w:val="24"/>
          <w:szCs w:val="24"/>
        </w:rPr>
        <w:t xml:space="preserve"> Neither parameter has been established for AAV.</w:t>
      </w:r>
    </w:p>
    <w:p>
      <w:pPr>
        <w:spacing w:after="0" w:line="480"/>
      </w:pPr>
      <w:r>
        <w:rPr>
          <w:sz w:val="24"/>
          <w:szCs w:val="24"/>
        </w:rPr>
        <w:t xml:space="preserve">The barrier is physical rather than conceptual. AAV capsids differ from mAbs by roughly an order of magnitude in hydrodynamic diameter and by more than an order of magnitude in molecular weight, while the maximum stable concentration achievable for an AAV preparation is one to two orders of magnitude lower than for a typical mAb. These differences alter the light scattering regime and the accessible concentration range so substantially that the standard mAb kD protocol cannot be applied directly.</w:t>
      </w:r>
    </w:p>
    <w:p>
      <w:pPr>
        <w:spacing w:after="0" w:line="480"/>
      </w:pPr>
      <w:r>
        <w:rPr>
          <w:sz w:val="24"/>
          <w:szCs w:val="24"/>
        </w:rPr>
        <w:t xml:space="preserve">Even a validated kD measurement, however, reports a bulk property: it captures the net sum of particle–particle interactions without identifying which surface features or which specific excipient contacts produce that sum. Atomistic simulation can supply that resolution. Spatial aggregation propensity (SAP) has been used to localize aggregation-prone regions on therapeutic proteins,</w:t>
      </w:r>
      <w:r>
        <w:rPr>
          <w:sz w:val="24"/>
          <w:szCs w:val="24"/>
          <w:vertAlign w:val="superscript"/>
        </w:rPr>
        <w:t xml:space="preserve">5</w:t>
      </w:r>
      <w:r>
        <w:rPr>
          <w:sz w:val="24"/>
          <w:szCs w:val="24"/>
        </w:rPr>
        <w:t xml:space="preserve"> preferential interaction coefficient (PIC) analysis has quantified excipient accumulation near such regions in mAbs,</w:t>
      </w:r>
      <w:r>
        <w:rPr>
          <w:sz w:val="24"/>
          <w:szCs w:val="24"/>
          <w:vertAlign w:val="superscript"/>
        </w:rPr>
        <w:t xml:space="preserve">6</w:t>
      </w:r>
      <w:r>
        <w:rPr>
          <w:sz w:val="24"/>
          <w:szCs w:val="24"/>
        </w:rPr>
        <w:t xml:space="preserve"> and continuum electrostatic analysis has linked oppositely charged surface patches to reduced kD and increased protein–protein attraction.</w:t>
      </w:r>
      <w:r>
        <w:rPr>
          <w:sz w:val="24"/>
          <w:szCs w:val="24"/>
          <w:vertAlign w:val="superscript"/>
        </w:rPr>
        <w:t xml:space="preserve">7</w:t>
      </w:r>
      <w:r>
        <w:rPr>
          <w:sz w:val="24"/>
          <w:szCs w:val="24"/>
        </w:rPr>
        <w:t xml:space="preserve"> Applied to an AAV capsid, these approaches could identify the specific surface regions and excipient interactions that underlie an observed formulation trend. To our knowledge, AAV surface topology has not previously been characterized from a formulation stability perspective.</w:t>
      </w:r>
    </w:p>
    <w:p>
      <w:pPr>
        <w:spacing w:after="0" w:line="480"/>
      </w:pPr>
      <w:r>
        <w:rPr>
          <w:sz w:val="24"/>
          <w:szCs w:val="24"/>
        </w:rPr>
        <w:t xml:space="preserve">Here we pursue both levels of description in parallel. We first develop and qualify a kD measurement workflow suited to AAV light scattering behavior and concentration limits, then apply it to AAV1 and AAV8 case studies and test whether kD rankings agree with independent one-month HTS stability outcomes. We then use all-atom MD simulations of the AAV1 capsid to resolve the mechanisms behind the observed pH, salt, and sucrose dependencies, examining charged-patch shielding, sucrose preferential interaction, and hydrogen bonding. The two approaches converge on a consistent account in which the 3-fold protrusion tips are the dominant aggregation-prone feature and sucrose stabilizes them through direct, localized interaction.</w:t>
      </w:r>
    </w:p>
    <w:p>
      <w:pPr>
        <w:keepNext/>
        <w:spacing w:after="180" w:before="360"/>
      </w:pPr>
      <w:r>
        <w:rPr>
          <w:b/>
          <w:bCs/>
          <w:sz w:val="24"/>
          <w:szCs w:val="24"/>
        </w:rPr>
        <w:t xml:space="preserve">MATERIALS AND METHODS</w:t>
      </w:r>
    </w:p>
    <w:p>
      <w:pPr>
        <w:keepNext/>
        <w:spacing w:after="120" w:before="240"/>
      </w:pPr>
      <w:r>
        <w:rPr>
          <w:b/>
          <w:bCs/>
          <w:i/>
          <w:iCs/>
          <w:sz w:val="24"/>
          <w:szCs w:val="24"/>
        </w:rPr>
        <w:t xml:space="preserve">Materials</w:t>
      </w:r>
    </w:p>
    <w:p>
      <w:pPr>
        <w:spacing w:after="0" w:line="480"/>
      </w:pPr>
      <w:r>
        <w:rPr>
          <w:sz w:val="24"/>
          <w:szCs w:val="24"/>
        </w:rPr>
        <w:t xml:space="preserve">Recombinant AAV1 and AAV8 vectors were produced and purified as described previously </w:t>
      </w:r>
      <w:r>
        <w:rPr>
          <w:b/>
          <w:bCs/>
          <w:color w:val="C00000"/>
          <w:sz w:val="24"/>
          <w:szCs w:val="24"/>
        </w:rPr>
        <w:t xml:space="preserve"> [NEEDS INPUT: cite or describe production platform — transfection system, cell line, purification train (affinity/ion exchange/ultracentrifugation), and buffer exchange method] </w:t>
      </w:r>
      <w:r>
        <w:rPr>
          <w:sz w:val="24"/>
          <w:szCs w:val="24"/>
        </w:rPr>
        <w:t xml:space="preserve">. Vector lots, genome titers as determined by </w:t>
      </w:r>
      <w:r>
        <w:rPr>
          <w:b/>
          <w:bCs/>
          <w:color w:val="C00000"/>
          <w:sz w:val="24"/>
          <w:szCs w:val="24"/>
        </w:rPr>
        <w:t xml:space="preserve"> [NEEDS INPUT: titer method — e.g. ddPCR or qPCR — including assay reference] </w:t>
      </w:r>
      <w:r>
        <w:rPr>
          <w:sz w:val="24"/>
          <w:szCs w:val="24"/>
        </w:rPr>
        <w:t xml:space="preserve">, and capsid purity as assessed by </w:t>
      </w:r>
      <w:r>
        <w:rPr>
          <w:b/>
          <w:bCs/>
          <w:color w:val="C00000"/>
          <w:sz w:val="24"/>
          <w:szCs w:val="24"/>
        </w:rPr>
        <w:t xml:space="preserve"> [NEEDS INPUT: purity method] </w:t>
      </w:r>
      <w:r>
        <w:rPr>
          <w:sz w:val="24"/>
          <w:szCs w:val="24"/>
        </w:rPr>
        <w:t xml:space="preserve"> are summarized in Table S1. </w:t>
      </w:r>
      <w:r>
        <w:rPr>
          <w:b/>
          <w:bCs/>
          <w:color w:val="C00000"/>
          <w:sz w:val="24"/>
          <w:szCs w:val="24"/>
        </w:rPr>
        <w:t xml:space="preserve"> [NEEDS INPUT: State full/empty capsid ratio for each lot and the method used to determine it; this materially affects both light scattering and interpretation of colloidal behavior.] </w:t>
      </w:r>
    </w:p>
    <w:p>
      <w:pPr>
        <w:spacing w:after="0" w:line="480"/>
      </w:pPr>
      <w:r>
        <w:rPr>
          <w:sz w:val="24"/>
          <w:szCs w:val="24"/>
        </w:rPr>
        <w:t xml:space="preserve">Formulation buffers were prepared with </w:t>
      </w:r>
      <w:r>
        <w:rPr>
          <w:b/>
          <w:bCs/>
          <w:color w:val="C00000"/>
          <w:sz w:val="24"/>
          <w:szCs w:val="24"/>
        </w:rPr>
        <w:t xml:space="preserve"> [NEEDS INPUT: reagent grades and suppliers, with city and state/country for each — required by both target journals] </w:t>
      </w:r>
      <w:r>
        <w:rPr>
          <w:sz w:val="24"/>
          <w:szCs w:val="24"/>
        </w:rPr>
        <w:t xml:space="preserve">. All formulations were based on 10 mM phosphate buffer with poloxamer 188 (P188) and were adjusted to the target pH with </w:t>
      </w:r>
      <w:r>
        <w:rPr>
          <w:b/>
          <w:bCs/>
          <w:color w:val="C00000"/>
          <w:sz w:val="24"/>
          <w:szCs w:val="24"/>
        </w:rPr>
        <w:t xml:space="preserve"> [NEEDS INPUT: acid/base used] </w:t>
      </w:r>
      <w:r>
        <w:rPr>
          <w:sz w:val="24"/>
          <w:szCs w:val="24"/>
        </w:rPr>
        <w:t xml:space="preserve">. Sodium chloride and sucrose concentrations are specified per experiment. Vector was buffer-exchanged into each formulation by </w:t>
      </w:r>
      <w:r>
        <w:rPr>
          <w:b/>
          <w:bCs/>
          <w:color w:val="C00000"/>
          <w:sz w:val="24"/>
          <w:szCs w:val="24"/>
        </w:rPr>
        <w:t xml:space="preserve"> [NEEDS INPUT: method — e.g. dialysis, spin desalting, or TFF — including membrane, MWCO, and number of exchanges] </w:t>
      </w:r>
      <w:r>
        <w:rPr>
          <w:sz w:val="24"/>
          <w:szCs w:val="24"/>
        </w:rPr>
        <w:t xml:space="preserve"> and held at </w:t>
      </w:r>
      <w:r>
        <w:rPr>
          <w:b/>
          <w:bCs/>
          <w:color w:val="C00000"/>
          <w:sz w:val="24"/>
          <w:szCs w:val="24"/>
        </w:rPr>
        <w:t xml:space="preserve"> [NEEDS INPUT: temperature] </w:t>
      </w:r>
      <w:r>
        <w:rPr>
          <w:sz w:val="24"/>
          <w:szCs w:val="24"/>
        </w:rPr>
        <w:t xml:space="preserve"> prior to measurement.</w:t>
      </w:r>
    </w:p>
    <w:p>
      <w:pPr>
        <w:keepNext/>
        <w:spacing w:after="120" w:before="240"/>
      </w:pPr>
      <w:r>
        <w:rPr>
          <w:b/>
          <w:bCs/>
          <w:i/>
          <w:iCs/>
          <w:sz w:val="24"/>
          <w:szCs w:val="24"/>
        </w:rPr>
        <w:t xml:space="preserve">Theory: the diffusion interaction parameter</w:t>
      </w:r>
    </w:p>
    <w:p>
      <w:pPr>
        <w:spacing w:after="0" w:line="480"/>
      </w:pPr>
      <w:r>
        <w:rPr>
          <w:sz w:val="24"/>
          <w:szCs w:val="24"/>
        </w:rPr>
        <w:t xml:space="preserve">In a dilute, ideal solution the mutual diffusion coefficient D is independent of concentration. At finite concentration, the apparent diffusion coefficient varies linearly with concentration to first order:</w:t>
      </w:r>
    </w:p>
    <w:p>
      <w:pPr>
        <w:spacing w:after="120" w:before="120" w:line="480"/>
        <w:jc w:val="center"/>
      </w:pPr>
      <w:r>
        <w:rPr>
          <w:i/>
          <w:iCs/>
          <w:sz w:val="24"/>
          <w:szCs w:val="24"/>
        </w:rPr>
        <w:t xml:space="preserve">Dt = D0 (1 + kD c)</w:t>
      </w:r>
    </w:p>
    <w:p>
      <w:pPr>
        <w:spacing w:after="0" w:line="480"/>
      </w:pPr>
      <w:r>
        <w:rPr>
          <w:sz w:val="24"/>
          <w:szCs w:val="24"/>
        </w:rPr>
        <w:t xml:space="preserve">where D0 is the infinite-dilution diffusion coefficient, c is particle concentration, and kD is the diffusion interaction parameter. Net repulsive particle–particle interactions increase the apparent diffusion coefficient with concentration, which by the Stokes–Einstein relation is reported as a decreasing apparent hydrodynamic radius. A higher (more positive) kD therefore indicates stronger net repulsion and greater colloidal stability.</w:t>
      </w:r>
      <w:r>
        <w:rPr>
          <w:sz w:val="24"/>
          <w:szCs w:val="24"/>
          <w:vertAlign w:val="superscript"/>
        </w:rPr>
        <w:t xml:space="preserve">4</w:t>
      </w:r>
    </w:p>
    <w:p>
      <w:pPr>
        <w:spacing w:after="0" w:line="480"/>
      </w:pPr>
      <w:r>
        <w:rPr>
          <w:sz w:val="24"/>
          <w:szCs w:val="24"/>
        </w:rPr>
        <w:t xml:space="preserve">For reference, the analogous static light scattering relation defines the second virial coefficient B22 through the excess Rayleigh ratio R(θ):</w:t>
      </w:r>
    </w:p>
    <w:p>
      <w:pPr>
        <w:spacing w:after="120" w:before="120" w:line="480"/>
        <w:jc w:val="center"/>
      </w:pPr>
      <w:r>
        <w:rPr>
          <w:i/>
          <w:iCs/>
          <w:sz w:val="24"/>
          <w:szCs w:val="24"/>
        </w:rPr>
        <w:t xml:space="preserve">R(θ) = K · M c P(θ) · [1 − 2 B22 M c P(θ)]</w:t>
      </w:r>
    </w:p>
    <w:p>
      <w:pPr>
        <w:spacing w:after="0" w:line="480"/>
      </w:pPr>
      <w:r>
        <w:rPr>
          <w:sz w:val="24"/>
          <w:szCs w:val="24"/>
        </w:rPr>
        <w:t xml:space="preserve">where K is the optical constant, M the molecular weight, and P(θ) the particle form factor at scattering angle θ.</w:t>
      </w:r>
    </w:p>
    <w:p>
      <w:pPr>
        <w:keepNext/>
        <w:spacing w:after="120" w:before="240"/>
      </w:pPr>
      <w:r>
        <w:rPr>
          <w:b/>
          <w:bCs/>
          <w:i/>
          <w:iCs/>
          <w:sz w:val="24"/>
          <w:szCs w:val="24"/>
        </w:rPr>
        <w:t xml:space="preserve">Determination of the AAV concentration range for kD measurement</w:t>
      </w:r>
    </w:p>
    <w:p>
      <w:pPr>
        <w:spacing w:after="0" w:line="480"/>
      </w:pPr>
      <w:r>
        <w:rPr>
          <w:sz w:val="24"/>
          <w:szCs w:val="24"/>
        </w:rPr>
        <w:t xml:space="preserve">Because AAV and mAb differ substantially in scattering behavior, the concentration range for AAV kD measurement was derived rather than adopted from the mAb protocol. Two constraints were evaluated.</w:t>
      </w:r>
    </w:p>
    <w:p>
      <w:pPr>
        <w:spacing w:after="0" w:line="480"/>
      </w:pPr>
      <w:r>
        <w:rPr>
          <w:sz w:val="24"/>
          <w:szCs w:val="24"/>
        </w:rPr>
        <w:t xml:space="preserve">First, a baseline scattering constraint: the AAV concentration required to match the scattered intensity of a 10 mg/mL mAb reference. In the dilute limit the excess Rayleigh ratio reduces to R(θ) ∝ K · M · c · P(θ). Assuming comparable optical constants and light-scattering figures of merit between the two molecule classes, and taking the form factor difference between AAV and mAb at the detection angle to be negligible, intensity matching gives c_AAV = c_mAb · (M_mAb / M_AAV). Using a generic AAV molecular weight of 3.8 MDa and a generic mAb molecular weight of 150 kDa, with K = 8.363 × 10⁻⁶ mol·m²·kg⁻² and form factors P(158°) of 0.9870 for AAV and 0.9961 for mAb, this yields c_AAV ≈ 0.395 mg/mL, corresponding to approximately 4.49 × 10¹³ vg/mL.</w:t>
      </w:r>
    </w:p>
    <w:p>
      <w:pPr>
        <w:spacing w:after="0" w:line="480"/>
      </w:pPr>
      <w:r>
        <w:rPr>
          <w:sz w:val="24"/>
          <w:szCs w:val="24"/>
        </w:rPr>
        <w:t xml:space="preserve">Second, a slope constraint: the AAV concentration required to produce a measurable kD slope in the target range of approximately 0.1–0.3. A baseline B22 and corresponding kD were estimated from a hard-sphere model using the spherical AAV volume </w:t>
      </w:r>
      <w:r>
        <w:rPr>
          <w:b/>
          <w:bCs/>
          <w:color w:val="C00000"/>
          <w:sz w:val="24"/>
          <w:szCs w:val="24"/>
        </w:rPr>
        <w:t xml:space="preserve"> [NEEDS INPUT: state the AAV radius used and give the explicit hard-sphere expressions applied for B22 and for the B22→kD conversion; the deck presents these as a derivation and the full calculation should appear here or in Supplemental Methods] </w:t>
      </w:r>
      <w:r>
        <w:rPr>
          <w:sz w:val="24"/>
          <w:szCs w:val="24"/>
        </w:rPr>
        <w:t xml:space="preserve">, following the treatment of Roberts et al.</w:t>
      </w:r>
      <w:r>
        <w:rPr>
          <w:sz w:val="24"/>
          <w:szCs w:val="24"/>
          <w:vertAlign w:val="superscript"/>
        </w:rPr>
        <w:t xml:space="preserve">7</w:t>
      </w:r>
      <w:r>
        <w:rPr>
          <w:sz w:val="24"/>
          <w:szCs w:val="24"/>
        </w:rPr>
        <w:t xml:space="preserve"> On this basis, a slope of 0.2 would require approximately 2.4 × 10¹⁵ vg/mL, which is far above the stable titer of any formulation examined here and is not experimentally accessible.</w:t>
      </w:r>
    </w:p>
    <w:p>
      <w:pPr>
        <w:spacing w:after="0" w:line="480"/>
      </w:pPr>
      <w:r>
        <w:rPr>
          <w:sz w:val="24"/>
          <w:szCs w:val="24"/>
        </w:rPr>
        <w:t xml:space="preserve">These two constraints define the operating regime of the method: baseline scattering intensity is comfortably matched at ≥0.4 mg/mL AAV, but the measurable kD slope is expected to be small and potentially obscured by noise even at the highest stable titers. Method development therefore focused on instrument selection to maximize slope signal-to-noise.</w:t>
      </w:r>
    </w:p>
    <w:p>
      <w:pPr>
        <w:keepNext/>
        <w:spacing w:after="120" w:before="240"/>
      </w:pPr>
      <w:r>
        <w:rPr>
          <w:b/>
          <w:bCs/>
          <w:i/>
          <w:iCs/>
          <w:sz w:val="24"/>
          <w:szCs w:val="24"/>
        </w:rPr>
        <w:t xml:space="preserve">Instrument screening and kD measurement</w:t>
      </w:r>
    </w:p>
    <w:p>
      <w:pPr>
        <w:spacing w:after="0" w:line="480"/>
      </w:pPr>
      <w:r>
        <w:rPr>
          <w:sz w:val="24"/>
          <w:szCs w:val="24"/>
        </w:rPr>
        <w:t xml:space="preserve">Three DLS platforms were evaluated: the Unchained Labs Stunner, the Unchained Labs Uncle, and the Wyatt DynaPro Plate Reader III (PR3) </w:t>
      </w:r>
      <w:r>
        <w:rPr>
          <w:b/>
          <w:bCs/>
          <w:color w:val="C00000"/>
          <w:sz w:val="24"/>
          <w:szCs w:val="24"/>
        </w:rPr>
        <w:t xml:space="preserve"> [NEEDS INPUT: supply manufacturer city and state/country for each instrument, and instrument software versions] </w:t>
      </w:r>
      <w:r>
        <w:rPr>
          <w:sz w:val="24"/>
          <w:szCs w:val="24"/>
        </w:rPr>
        <w:t xml:space="preserve">. Instruments were compared on baseline signal sufficiency, slope signal sufficiency, spatial reproducibility across the sample plate, and material requirement.</w:t>
      </w:r>
    </w:p>
    <w:p>
      <w:pPr>
        <w:spacing w:after="0" w:line="480"/>
      </w:pPr>
      <w:r>
        <w:rPr>
          <w:sz w:val="24"/>
          <w:szCs w:val="24"/>
        </w:rPr>
        <w:t xml:space="preserve">Spatial bias was assessed by loading identical samples in a randomized well pattern across the plate and evaluating the resulting spatial distribution of measured diffusion coefficients </w:t>
      </w:r>
      <w:r>
        <w:rPr>
          <w:b/>
          <w:bCs/>
          <w:color w:val="C00000"/>
          <w:sz w:val="24"/>
          <w:szCs w:val="24"/>
        </w:rPr>
        <w:t xml:space="preserve"> [NEEDS INPUT: specify number of wells, number of independent randomizations, and the statistic used to test for spatial dependence] </w:t>
      </w:r>
      <w:r>
        <w:rPr>
          <w:sz w:val="24"/>
          <w:szCs w:val="24"/>
        </w:rPr>
        <w:t xml:space="preserve">.</w:t>
      </w:r>
    </w:p>
    <w:p>
      <w:pPr>
        <w:spacing w:after="0" w:line="480"/>
      </w:pPr>
      <w:r>
        <w:rPr>
          <w:sz w:val="24"/>
          <w:szCs w:val="24"/>
        </w:rPr>
        <w:t xml:space="preserve">The final kD workflow used the DynaPro PR3. Samples were prepared as a 3-fold dilution series up to 0.4 mg/mL (approximately 4.5 × 10¹³ vg/mL) in the formulation of interest, and the diffusion coefficient was measured in triplicate 50 µL samples in a 384-well plate </w:t>
      </w:r>
      <w:r>
        <w:rPr>
          <w:b/>
          <w:bCs/>
          <w:color w:val="C00000"/>
          <w:sz w:val="24"/>
          <w:szCs w:val="24"/>
        </w:rPr>
        <w:t xml:space="preserve"> [NEEDS INPUT: state plate type/vendor, acquisition time, number of acquisitions per well, laser wavelength and power, detection angle, temperature, and any viscosity/refractive index corrections applied for sucrose-containing formulations — sucrose materially changes solution viscosity and the correction used must be stated] </w:t>
      </w:r>
      <w:r>
        <w:rPr>
          <w:sz w:val="24"/>
          <w:szCs w:val="24"/>
        </w:rPr>
        <w:t xml:space="preserve">. kD was obtained as the slope of normalized Dt versus concentration by linear regression, per Equation 1.</w:t>
      </w:r>
    </w:p>
    <w:p>
      <w:pPr>
        <w:spacing w:after="0" w:line="480"/>
      </w:pPr>
      <w:r>
        <w:rPr>
          <w:sz w:val="24"/>
          <w:szCs w:val="24"/>
        </w:rPr>
        <w:t xml:space="preserve">For the AAV8 case study, formulations were 10 mM phosphate, 0.01% P188, pH 7.3, at either 300 mM or 30 mM NaCl, measured up to 2.32 mg/mL (2.64 × 10¹⁴ vg/mL). For the AAV1 pH case study, formulations were 10 mM phosphate, 30 mM NaCl, 0.005% P188, pH 6.0 or pH 8.0, at either 1% sucrose (measured up to 0.446 mg/mL; 5.26 × 10¹³ vg/mL) or 10% sucrose (measured up to 0.462 mg/mL; 5.26 × 10¹³ vg/mL). The four formulations selected for comparison against HTS outcomes are given in Table 3; all contained 10 mM buffer and 0.005% P188.</w:t>
      </w:r>
    </w:p>
    <w:p>
      <w:pPr>
        <w:keepNext/>
        <w:spacing w:after="120" w:before="240"/>
      </w:pPr>
      <w:r>
        <w:rPr>
          <w:b/>
          <w:bCs/>
          <w:i/>
          <w:iCs/>
          <w:sz w:val="24"/>
          <w:szCs w:val="24"/>
        </w:rPr>
        <w:t xml:space="preserve">High-throughput stability study</w:t>
      </w:r>
    </w:p>
    <w:p>
      <w:pPr>
        <w:spacing w:after="0" w:line="480"/>
      </w:pPr>
      <w:r>
        <w:rPr>
          <w:sz w:val="24"/>
          <w:szCs w:val="24"/>
        </w:rPr>
        <w:t xml:space="preserve">Formulation stability data used for comparison with kD were generated on the automated AAV stability platform described previously.</w:t>
      </w:r>
      <w:r>
        <w:rPr>
          <w:sz w:val="24"/>
          <w:szCs w:val="24"/>
          <w:vertAlign w:val="superscript"/>
        </w:rPr>
        <w:t xml:space="preserve">2</w:t>
      </w:r>
      <w:r>
        <w:rPr>
          <w:sz w:val="24"/>
          <w:szCs w:val="24"/>
        </w:rPr>
        <w:t xml:space="preserve"> AAV1 conditions spanned pH 4.5–8.2, 0–12% sucrose, and 0–270 mM NaCl; AAV8 conditions spanned pH 6–8, 0–5% sucrose, and 50–300 mM NaCl. Stability endpoints were particle size fold change and genome titer recovery at T = 30 days at 5 °C, relative to T = 0. </w:t>
      </w:r>
      <w:r>
        <w:rPr>
          <w:b/>
          <w:bCs/>
          <w:color w:val="C00000"/>
          <w:sz w:val="24"/>
          <w:szCs w:val="24"/>
        </w:rPr>
        <w:t xml:space="preserve"> [NEEDS INPUT: Confirm whether the HTS data reported here are newly generated for this manuscript or are reanalyzed from the cited platform paper. If reanalyzed, this must be stated explicitly and the overlap described, since both target journals require disclosure of related and prior work.] </w:t>
      </w:r>
    </w:p>
    <w:p>
      <w:pPr>
        <w:keepNext/>
        <w:spacing w:after="120" w:before="240"/>
      </w:pPr>
      <w:r>
        <w:rPr>
          <w:b/>
          <w:bCs/>
          <w:i/>
          <w:iCs/>
          <w:sz w:val="24"/>
          <w:szCs w:val="24"/>
        </w:rPr>
        <w:t xml:space="preserve">Molecular dynamics simulations</w:t>
      </w:r>
    </w:p>
    <w:p>
      <w:pPr>
        <w:spacing w:after="0" w:line="480"/>
      </w:pPr>
      <w:r>
        <w:rPr>
          <w:sz w:val="24"/>
          <w:szCs w:val="24"/>
        </w:rPr>
        <w:t xml:space="preserve">All-atom MD simulations of the AAV1 capsid were performed in GROMACS.</w:t>
      </w:r>
      <w:r>
        <w:rPr>
          <w:sz w:val="24"/>
          <w:szCs w:val="24"/>
          <w:vertAlign w:val="superscript"/>
        </w:rPr>
        <w:t xml:space="preserve">8</w:t>
      </w:r>
      <w:r>
        <w:rPr>
          <w:sz w:val="24"/>
          <w:szCs w:val="24"/>
        </w:rPr>
        <w:t xml:space="preserve"> </w:t>
      </w:r>
      <w:r>
        <w:rPr>
          <w:b/>
          <w:bCs/>
          <w:color w:val="C00000"/>
          <w:sz w:val="24"/>
          <w:szCs w:val="24"/>
        </w:rPr>
        <w:t xml:space="preserve"> [NEEDS INPUT: State GROMACS version.] </w:t>
      </w:r>
      <w:r>
        <w:rPr>
          <w:sz w:val="24"/>
          <w:szCs w:val="24"/>
        </w:rPr>
        <w:t xml:space="preserve"> The starting structure was </w:t>
      </w:r>
      <w:r>
        <w:rPr>
          <w:b/>
          <w:bCs/>
          <w:color w:val="C00000"/>
          <w:sz w:val="24"/>
          <w:szCs w:val="24"/>
        </w:rPr>
        <w:t xml:space="preserve"> [NEEDS INPUT: PDB accession and citation for the AAV1 capsid structure used; state whether the full T=1 icosahedral capsid, an asymmetric unit, or a surface patch was simulated, and how any missing residues or the VP1/VP2 unique regions were handled] </w:t>
      </w:r>
      <w:r>
        <w:rPr>
          <w:sz w:val="24"/>
          <w:szCs w:val="24"/>
        </w:rPr>
        <w:t xml:space="preserve">. Protonation states were assigned at each target pH using PDB2PQR.</w:t>
      </w:r>
      <w:r>
        <w:rPr>
          <w:sz w:val="24"/>
          <w:szCs w:val="24"/>
          <w:vertAlign w:val="superscript"/>
        </w:rPr>
        <w:t xml:space="preserve">9</w:t>
      </w:r>
      <w:r>
        <w:rPr>
          <w:sz w:val="24"/>
          <w:szCs w:val="24"/>
        </w:rPr>
        <w:t xml:space="preserve"> </w:t>
      </w:r>
      <w:r>
        <w:rPr>
          <w:b/>
          <w:bCs/>
          <w:color w:val="C00000"/>
          <w:sz w:val="24"/>
          <w:szCs w:val="24"/>
        </w:rPr>
        <w:t xml:space="preserve"> [NEEDS INPUT: State the pKa method (e.g. PROPKA) and force field selection used for parameter assignment.] </w:t>
      </w:r>
    </w:p>
    <w:p>
      <w:pPr>
        <w:spacing w:after="0" w:line="480"/>
      </w:pPr>
      <w:r>
        <w:rPr>
          <w:b/>
          <w:bCs/>
          <w:color w:val="C00000"/>
          <w:sz w:val="24"/>
          <w:szCs w:val="24"/>
        </w:rPr>
        <w:t xml:space="preserve"> [NEEDS INPUT: The following simulation parameters are required by both target journals for reproducibility and must be supplied: protein force field; water model; sucrose and ion parameters; box geometry and minimum solute–box distance; total system size (atoms); energy minimization protocol; equilibration protocol (NVT/NPT, duration, restraints); production ensemble; thermostat and barostat with coupling constants; integration timestep; constraint algorithm; electrostatics treatment (e.g. PME) with cutoffs; van der Waals cutoff; production run length per system; and number of independent replicates per formulation. The deck indicates a 10 ns trajectory for at least one condition — confirm whether this is the production length for all systems, and confirm the replicate count, as single unreplicated trajectories will be a predictable reviewer objection.] </w:t>
      </w:r>
    </w:p>
    <w:p>
      <w:pPr>
        <w:spacing w:after="0" w:line="480"/>
      </w:pPr>
      <w:r>
        <w:rPr>
          <w:sz w:val="24"/>
          <w:szCs w:val="24"/>
        </w:rPr>
        <w:t xml:space="preserve">Two simulation batches were run. Batch 1 comprised eight AAV1 formulations in a full factorial of low/high conditions: 30 or 200 mM NaCl, 1% or 10% sucrose, and pH 6 or pH 8, designed to resolve the independent effects of each excipient axis. Batch 2 comprised the four AAV1 formulations used in the kD ranking and HTS comparison (Table 3), designed to test agreement between MD metrics and measured kD.</w:t>
      </w:r>
    </w:p>
    <w:p>
      <w:pPr>
        <w:spacing w:after="0" w:line="480"/>
      </w:pPr>
      <w:r>
        <w:rPr>
          <w:sz w:val="24"/>
          <w:szCs w:val="24"/>
        </w:rPr>
        <w:t xml:space="preserve">Sodium and chloride ions were added to the specified concentrations and sucrose was added to the specified mass fractions </w:t>
      </w:r>
      <w:r>
        <w:rPr>
          <w:b/>
          <w:bCs/>
          <w:color w:val="C00000"/>
          <w:sz w:val="24"/>
          <w:szCs w:val="24"/>
        </w:rPr>
        <w:t xml:space="preserve"> [NEEDS INPUT: state how ion and sucrose counts were computed from the target concentrations, and whether ions were added beyond neutralization] </w:t>
      </w:r>
      <w:r>
        <w:rPr>
          <w:sz w:val="24"/>
          <w:szCs w:val="24"/>
        </w:rPr>
        <w:t xml:space="preserve">.</w:t>
      </w:r>
    </w:p>
    <w:p>
      <w:pPr>
        <w:keepNext/>
        <w:spacing w:after="120" w:before="240"/>
      </w:pPr>
      <w:r>
        <w:rPr>
          <w:b/>
          <w:bCs/>
          <w:i/>
          <w:iCs/>
          <w:sz w:val="24"/>
          <w:szCs w:val="24"/>
        </w:rPr>
        <w:t xml:space="preserve">Capsid surface region definitions and aggregation propensity</w:t>
      </w:r>
    </w:p>
    <w:p>
      <w:pPr>
        <w:spacing w:after="0" w:line="480"/>
      </w:pPr>
      <w:r>
        <w:rPr>
          <w:sz w:val="24"/>
          <w:szCs w:val="24"/>
        </w:rPr>
        <w:t xml:space="preserve">Capsid surface regions were classified broadly on the basis of topology and solvent accessibility. The 3-fold protrusion region was defined as residues 446–463, 531–556, and 581–597; the 5-fold pore region as residues 324–333, 656–658, and 670–672. </w:t>
      </w:r>
      <w:r>
        <w:rPr>
          <w:b/>
          <w:bCs/>
          <w:color w:val="C00000"/>
          <w:sz w:val="24"/>
          <w:szCs w:val="24"/>
        </w:rPr>
        <w:t xml:space="preserve"> [NEEDS INPUT: Confirm the VP1 numbering convention used and cite the structural basis for these boundaries.] </w:t>
      </w:r>
      <w:r>
        <w:rPr>
          <w:sz w:val="24"/>
          <w:szCs w:val="24"/>
        </w:rPr>
        <w:t xml:space="preserve"> Region assignments were informed by prior structural characterization of the AAV1 capsid.</w:t>
      </w:r>
      <w:r>
        <w:rPr>
          <w:sz w:val="24"/>
          <w:szCs w:val="24"/>
          <w:vertAlign w:val="superscript"/>
        </w:rPr>
        <w:t xml:space="preserve">10</w:t>
      </w:r>
    </w:p>
    <w:p>
      <w:pPr>
        <w:spacing w:after="0" w:line="480"/>
      </w:pPr>
      <w:r>
        <w:rPr>
          <w:sz w:val="24"/>
          <w:szCs w:val="24"/>
        </w:rPr>
        <w:t xml:space="preserve">Solvent-accessible surface area (SASA) was computed </w:t>
      </w:r>
      <w:r>
        <w:rPr>
          <w:b/>
          <w:bCs/>
          <w:color w:val="C00000"/>
          <w:sz w:val="24"/>
          <w:szCs w:val="24"/>
        </w:rPr>
        <w:t xml:space="preserve"> [NEEDS INPUT: state tool and probe radius, and whether per-residue values were averaged over the trajectory] </w:t>
      </w:r>
      <w:r>
        <w:rPr>
          <w:sz w:val="24"/>
          <w:szCs w:val="24"/>
        </w:rPr>
        <w:t xml:space="preserve">. Spatial aggregation propensity (SAP) was computed following Chennamsetty et al.</w:t>
      </w:r>
      <w:r>
        <w:rPr>
          <w:sz w:val="24"/>
          <w:szCs w:val="24"/>
          <w:vertAlign w:val="superscript"/>
        </w:rPr>
        <w:t xml:space="preserve">5</w:t>
      </w:r>
      <w:r>
        <w:rPr>
          <w:sz w:val="24"/>
          <w:szCs w:val="24"/>
        </w:rPr>
        <w:t xml:space="preserve"> </w:t>
      </w:r>
      <w:r>
        <w:rPr>
          <w:b/>
          <w:bCs/>
          <w:color w:val="C00000"/>
          <w:sz w:val="24"/>
          <w:szCs w:val="24"/>
        </w:rPr>
        <w:t xml:space="preserve"> [NEEDS INPUT: state the SAP radius used, the hydrophobicity scale, and the trajectory averaging window] </w:t>
      </w:r>
      <w:r>
        <w:rPr>
          <w:sz w:val="24"/>
          <w:szCs w:val="24"/>
        </w:rPr>
        <w:t xml:space="preserve">.</w:t>
      </w:r>
    </w:p>
    <w:p>
      <w:pPr>
        <w:keepNext/>
        <w:spacing w:after="120" w:before="240"/>
      </w:pPr>
      <w:r>
        <w:rPr>
          <w:b/>
          <w:bCs/>
          <w:i/>
          <w:iCs/>
          <w:sz w:val="24"/>
          <w:szCs w:val="24"/>
        </w:rPr>
        <w:t xml:space="preserve">Electrostatic analysis</w:t>
      </w:r>
    </w:p>
    <w:p>
      <w:pPr>
        <w:spacing w:after="0" w:line="480"/>
      </w:pPr>
      <w:r>
        <w:rPr>
          <w:sz w:val="24"/>
          <w:szCs w:val="24"/>
        </w:rPr>
        <w:t xml:space="preserve">Electrostatic potential maps were generated with PDB2PQR</w:t>
      </w:r>
      <w:r>
        <w:rPr>
          <w:sz w:val="24"/>
          <w:szCs w:val="24"/>
          <w:vertAlign w:val="superscript"/>
        </w:rPr>
        <w:t xml:space="preserve">9</w:t>
      </w:r>
      <w:r>
        <w:rPr>
          <w:sz w:val="24"/>
          <w:szCs w:val="24"/>
        </w:rPr>
        <w:t xml:space="preserve"> and APBS</w:t>
      </w:r>
      <w:r>
        <w:rPr>
          <w:sz w:val="24"/>
          <w:szCs w:val="24"/>
          <w:vertAlign w:val="superscript"/>
        </w:rPr>
        <w:t xml:space="preserve">11</w:t>
      </w:r>
      <w:r>
        <w:rPr>
          <w:sz w:val="24"/>
          <w:szCs w:val="24"/>
        </w:rPr>
        <w:t xml:space="preserve"> from full simulation trajectories. </w:t>
      </w:r>
      <w:r>
        <w:rPr>
          <w:b/>
          <w:bCs/>
          <w:color w:val="C00000"/>
          <w:sz w:val="24"/>
          <w:szCs w:val="24"/>
        </w:rPr>
        <w:t xml:space="preserve"> [NEEDS INPUT: State the Poisson–Boltzmann settings: linearized or nonlinear PB, grid dimensions and spacing, solute and solvent dielectric constants, ionic species and concentrations used in the PB calculation, temperature, and how trajectory frames were sampled and averaged. Note that if the salt concentration enters the PB calculation directly, the salt-dependent shielding result depends on that input and the relationship to the explicit-ion MD must be stated clearly.] </w:t>
      </w:r>
    </w:p>
    <w:p>
      <w:pPr>
        <w:spacing w:after="0" w:line="480"/>
      </w:pPr>
      <w:r>
        <w:rPr>
          <w:sz w:val="24"/>
          <w:szCs w:val="24"/>
        </w:rPr>
        <w:t xml:space="preserve">Charged patches were identified as contiguous surface regions of like sign exceeding </w:t>
      </w:r>
      <w:r>
        <w:rPr>
          <w:b/>
          <w:bCs/>
          <w:color w:val="C00000"/>
          <w:sz w:val="24"/>
          <w:szCs w:val="24"/>
        </w:rPr>
        <w:t xml:space="preserve"> [NEEDS INPUT: threshold potential and minimum area] </w:t>
      </w:r>
      <w:r>
        <w:rPr>
          <w:sz w:val="24"/>
          <w:szCs w:val="24"/>
        </w:rPr>
        <w:t xml:space="preserve">. Patch exposure was evaluated relative to the modeled charge screening layer as described in Results.</w:t>
      </w:r>
    </w:p>
    <w:p>
      <w:pPr>
        <w:keepNext/>
        <w:spacing w:after="120" w:before="240"/>
      </w:pPr>
      <w:r>
        <w:rPr>
          <w:b/>
          <w:bCs/>
          <w:i/>
          <w:iCs/>
          <w:sz w:val="24"/>
          <w:szCs w:val="24"/>
        </w:rPr>
        <w:t xml:space="preserve">Preferential interaction coefficient and hydrogen bonding</w:t>
      </w:r>
    </w:p>
    <w:p>
      <w:pPr>
        <w:spacing w:after="0" w:line="480"/>
      </w:pPr>
      <w:r>
        <w:rPr>
          <w:sz w:val="24"/>
          <w:szCs w:val="24"/>
        </w:rPr>
        <w:t xml:space="preserve">Preferential interaction coefficients for sucrose were computed following the approach of Cloutier et al.</w:t>
      </w:r>
      <w:r>
        <w:rPr>
          <w:sz w:val="24"/>
          <w:szCs w:val="24"/>
          <w:vertAlign w:val="superscript"/>
        </w:rPr>
        <w:t xml:space="preserve">6</w:t>
      </w:r>
      <w:r>
        <w:rPr>
          <w:sz w:val="24"/>
          <w:szCs w:val="24"/>
        </w:rPr>
        <w:t xml:space="preserve"> </w:t>
      </w:r>
      <w:r>
        <w:rPr>
          <w:b/>
          <w:bCs/>
          <w:color w:val="C00000"/>
          <w:sz w:val="24"/>
          <w:szCs w:val="24"/>
        </w:rPr>
        <w:t xml:space="preserve"> [NEEDS INPUT: State the local/bulk domain definition (cutoff distance from the capsid surface), the averaging protocol, and whether values are reported per residue, per region, or per capsid.] </w:t>
      </w:r>
      <w:r>
        <w:rPr>
          <w:sz w:val="24"/>
          <w:szCs w:val="24"/>
        </w:rPr>
        <w:t xml:space="preserve"> PIC values are reported on a relative scale, with higher values indicating greater local sucrose concentration relative to bulk solution.</w:t>
      </w:r>
    </w:p>
    <w:p>
      <w:pPr>
        <w:spacing w:after="0" w:line="480"/>
      </w:pPr>
      <w:r>
        <w:rPr>
          <w:sz w:val="24"/>
          <w:szCs w:val="24"/>
        </w:rPr>
        <w:t xml:space="preserve">Hydrogen bonds between sucrose and capsid surface residues were identified using a donor–acceptor distance cutoff of 3.5 Å and a bond angle cutoff of ≥150°. </w:t>
      </w:r>
      <w:r>
        <w:rPr>
          <w:b/>
          <w:bCs/>
          <w:color w:val="C00000"/>
          <w:sz w:val="24"/>
          <w:szCs w:val="24"/>
        </w:rPr>
        <w:t xml:space="preserve"> [NEEDS INPUT: State the analysis tool and whether counts are time-averaged occupancies or raw counts; state normalization if any.] </w:t>
      </w:r>
    </w:p>
    <w:p>
      <w:pPr>
        <w:keepNext/>
        <w:spacing w:after="120" w:before="240"/>
      </w:pPr>
      <w:r>
        <w:rPr>
          <w:b/>
          <w:bCs/>
          <w:i/>
          <w:iCs/>
          <w:sz w:val="24"/>
          <w:szCs w:val="24"/>
        </w:rPr>
        <w:t xml:space="preserve">Statistical analysis</w:t>
      </w:r>
    </w:p>
    <w:p>
      <w:pPr>
        <w:spacing w:after="0" w:line="480"/>
      </w:pPr>
      <w:r>
        <w:rPr>
          <w:sz w:val="24"/>
          <w:szCs w:val="24"/>
        </w:rPr>
        <w:t xml:space="preserve">Linear regressions of Dt versus concentration were compared between formulation pairs by analysis of covariance (ANCOVA), testing for difference in slope. Regressions were considered distinct at p &lt; 0.0001. </w:t>
      </w:r>
      <w:r>
        <w:rPr>
          <w:b/>
          <w:bCs/>
          <w:color w:val="C00000"/>
          <w:sz w:val="24"/>
          <w:szCs w:val="24"/>
        </w:rPr>
        <w:t xml:space="preserve"> [NEEDS INPUT: State the software used, the number of independent measurements contributing to each regression, whether the triplicate wells were treated as technical or biological replicates, and how error is reported in figures (mean ± SD or mean ± SEM). Both target journals require that error measures be defined explicitly in each figure legend, and Gene Therapy additionally requires that statistics not be shown for replicates of a single experiment — confirm that the ANCOVA comparisons are supported by independently repeated experiments rather than replicate wells within one run.] </w:t>
      </w:r>
    </w:p>
    <w:p>
      <w:pPr>
        <w:keepNext/>
        <w:spacing w:after="180" w:before="360"/>
      </w:pPr>
      <w:r>
        <w:rPr>
          <w:b/>
          <w:bCs/>
          <w:sz w:val="24"/>
          <w:szCs w:val="24"/>
        </w:rPr>
        <w:t xml:space="preserve">RESULTS</w:t>
      </w:r>
    </w:p>
    <w:p>
      <w:pPr>
        <w:keepNext/>
        <w:spacing w:after="120" w:before="240"/>
      </w:pPr>
      <w:r>
        <w:rPr>
          <w:b/>
          <w:bCs/>
          <w:i/>
          <w:iCs/>
          <w:sz w:val="24"/>
          <w:szCs w:val="24"/>
        </w:rPr>
        <w:t xml:space="preserve">AAV light scattering properties require a modified kD workflow</w:t>
      </w:r>
    </w:p>
    <w:p>
      <w:pPr>
        <w:spacing w:after="0" w:line="480"/>
      </w:pPr>
      <w:r>
        <w:rPr>
          <w:sz w:val="24"/>
          <w:szCs w:val="24"/>
        </w:rPr>
        <w:t xml:space="preserve">AAV and mAb differ across every property that governs a DLS-based kD measurement (Table 1). AAV capsids have molecular weights of 3.5–5.5 MDa against 140–160 kDa for mAbs, hydrodynamic diameters of 22–28 nm against 8–12 nm, and maximum stable concentrations of approximately 1–10 mg/mL (1 × 10¹³–1 × 10¹⁴ vg/mL) against 100–200 mg/mL. The established mAb protocol—dilution across 2–10 mg/mL with DLS on triplicate 50 µL samples—is therefore not directly transferable.</w:t>
      </w:r>
    </w:p>
    <w:p>
      <w:pPr>
        <w:spacing w:after="0" w:line="480"/>
      </w:pPr>
      <w:r>
        <w:rPr>
          <w:sz w:val="24"/>
          <w:szCs w:val="24"/>
        </w:rPr>
        <w:t xml:space="preserve">Deriving the AAV operating range from light scattering theory produced two distinct answers depending on which constraint was applied (Methods). Matching the baseline scattering intensity of a 10 mg/mL mAb requires only about 0.395 mg/mL AAV (4.49 × 10¹³ vg/mL), a concentration readily achievable in stable formulations. Producing a kD slope in the conventional 0.1–0.3 range, by contrast, would require approximately 2.4 × 10¹⁵ vg/mL under a hard-sphere estimate—roughly an order of magnitude beyond the highest stable titer available. Baseline signal is thus not the limiting factor for AAV kD; slope signal is. This framed instrument selection as a question of which platform could resolve a small slope reliably rather than which could detect the particles at all.</w:t>
      </w:r>
    </w:p>
    <w:p>
      <w:pPr>
        <w:keepNext/>
        <w:spacing w:after="120" w:before="240"/>
      </w:pPr>
      <w:r>
        <w:rPr>
          <w:b/>
          <w:bCs/>
          <w:i/>
          <w:iCs/>
          <w:sz w:val="24"/>
          <w:szCs w:val="24"/>
        </w:rPr>
        <w:t xml:space="preserve">The DynaPro PR3 provides the most reliable AAV kD measurement</w:t>
      </w:r>
    </w:p>
    <w:p>
      <w:pPr>
        <w:spacing w:after="0" w:line="480"/>
      </w:pPr>
      <w:r>
        <w:rPr>
          <w:sz w:val="24"/>
          <w:szCs w:val="24"/>
        </w:rPr>
        <w:t xml:space="preserve">Three platforms were screened against these constraints (Figure 1, Table 2). On the Uncle, kD measurement was unsuccessful at 0.3–1 mg/mL owing to insufficient detector sensitivity: baseline signal was inadequate, and the platform was ruled out despite its low material requirement (9 µL) and comparatively low spatial bias.</w:t>
      </w:r>
    </w:p>
    <w:p>
      <w:pPr>
        <w:spacing w:after="0" w:line="480"/>
      </w:pPr>
      <w:r>
        <w:rPr>
          <w:sz w:val="24"/>
          <w:szCs w:val="24"/>
        </w:rPr>
        <w:t xml:space="preserve">On the Stunner, a concentration-dependent trend was present but weak at 0.3–1 mg/mL, consistent with the predicted small slope. Raising the concentration did not resolve the problem: even at the highest stable titers accessible across formulations (3–8 mg/mL), kD results remained noisy and inconsistent. Investigation of this variability revealed a spatial artifact—identical samples loaded in randomized well positions produced diffusion coefficients that varied systematically with position on the plate (Figure 1</w:t>
      </w:r>
      <w:r>
        <w:rPr>
          <w:b/>
          <w:bCs/>
          <w:color w:val="C00000"/>
          <w:sz w:val="24"/>
          <w:szCs w:val="24"/>
        </w:rPr>
        <w:t xml:space="preserve"> [NEEDS INPUT: panel letter] </w:t>
      </w:r>
      <w:r>
        <w:rPr>
          <w:sz w:val="24"/>
          <w:szCs w:val="24"/>
        </w:rPr>
        <w:t xml:space="preserve">). Because a kD measurement is a slope across a dilution series distributed over multiple wells, a position-dependent bias in diffusion coefficient directly corrupts the quantity being measured. The Stunner was therefore also ruled out, notwithstanding its very low material requirement (2 µL) and 96-well throughput.</w:t>
      </w:r>
    </w:p>
    <w:p>
      <w:pPr>
        <w:spacing w:after="0" w:line="480"/>
      </w:pPr>
      <w:r>
        <w:rPr>
          <w:sz w:val="24"/>
          <w:szCs w:val="24"/>
        </w:rPr>
        <w:t xml:space="preserve">The DynaPro PR3 produced successful kD measurements at 0.1–0.4 mg/mL and did so consistently across formulations at 0.4 mg/mL. Its material requirement is higher (50 µL per sample), but it retains 384-well throughput and was the only platform of the three that satisfied both the baseline and slope constraints. All subsequent kD measurements were performed on this instrument using a 3-fold dilution series up to 0.4 mg/mL with triplicate wells per concentration.</w:t>
      </w:r>
    </w:p>
    <w:p>
      <w:pPr>
        <w:keepNext/>
        <w:spacing w:after="120" w:before="240"/>
      </w:pPr>
      <w:r>
        <w:rPr>
          <w:b/>
          <w:bCs/>
          <w:i/>
          <w:iCs/>
          <w:sz w:val="24"/>
          <w:szCs w:val="24"/>
        </w:rPr>
        <w:t xml:space="preserve">AAV8 kD reports the expected salt dependence</w:t>
      </w:r>
    </w:p>
    <w:p>
      <w:pPr>
        <w:spacing w:after="0" w:line="480"/>
      </w:pPr>
      <w:r>
        <w:rPr>
          <w:sz w:val="24"/>
          <w:szCs w:val="24"/>
        </w:rPr>
        <w:t xml:space="preserve">The qualified method was first applied to AAV8 in 10 mM phosphate, 0.01% P188, pH 7.3, comparing 300 mM and 30 mM NaCl at concentrations up to 2.32 mg/mL (2.64 × 10¹⁴ vg/mL) (Figure 2). The 300 mM NaCl formulation gave kD = 12.7 mL/g and the 30 mM NaCl formulation gave kD = −7.5 mL/g; the two regressions were distinct by ANCOVA (p &lt; 0.0001).</w:t>
      </w:r>
    </w:p>
    <w:p>
      <w:pPr>
        <w:spacing w:after="0" w:line="480"/>
      </w:pPr>
      <w:r>
        <w:rPr>
          <w:sz w:val="24"/>
          <w:szCs w:val="24"/>
        </w:rPr>
        <w:t xml:space="preserve">This ordering matches the independent HTS finding that high salt, along with high pH and high sucrose, drives stable AAV8 formulations.</w:t>
      </w:r>
      <w:r>
        <w:rPr>
          <w:sz w:val="24"/>
          <w:szCs w:val="24"/>
          <w:vertAlign w:val="superscript"/>
        </w:rPr>
        <w:t xml:space="preserve">2</w:t>
      </w:r>
      <w:r>
        <w:rPr>
          <w:sz w:val="24"/>
          <w:szCs w:val="24"/>
        </w:rPr>
        <w:t xml:space="preserve"> It also spans the sign change: the high-salt condition shows net repulsive behavior while the low-salt condition does not. This is the expected direction if charge screening contributes materially to AAV8 colloidal stability in this regime.</w:t>
      </w:r>
    </w:p>
    <w:p>
      <w:pPr>
        <w:keepNext/>
        <w:spacing w:after="120" w:before="240"/>
      </w:pPr>
      <w:r>
        <w:rPr>
          <w:b/>
          <w:bCs/>
          <w:i/>
          <w:iCs/>
          <w:sz w:val="24"/>
          <w:szCs w:val="24"/>
        </w:rPr>
        <w:t xml:space="preserve">AAV1 kD reports the expected pH dependence</w:t>
      </w:r>
    </w:p>
    <w:p>
      <w:pPr>
        <w:spacing w:after="0" w:line="480"/>
      </w:pPr>
      <w:r>
        <w:rPr>
          <w:sz w:val="24"/>
          <w:szCs w:val="24"/>
        </w:rPr>
        <w:t xml:space="preserve">AAV1 was examined in 10 mM phosphate, 30 mM NaCl, 0.005% P188 at pH 6.0 and pH 8.0 (Figure 3). In 1% sucrose, measured up to 0.446 mg/mL (5.26 × 10¹³ vg/mL), kD was −157.8 mL/g at pH 6 and −270.9 mL/g at pH 8, with distinct regressions by ANCOVA (p &lt; 0.0001). In 10% sucrose, measured up to 0.462 mg/mL, kD was +60.2 mL/g at pH 6 and −138.0 mL/g at pH 8.</w:t>
      </w:r>
    </w:p>
    <w:p>
      <w:pPr>
        <w:spacing w:after="0" w:line="480"/>
      </w:pPr>
      <w:r>
        <w:rPr>
          <w:sz w:val="24"/>
          <w:szCs w:val="24"/>
        </w:rPr>
        <w:t xml:space="preserve">In both sucrose conditions the pH 6 formulation showed the higher kD, consistent with the HTS observation that low pH and 8–10% sucrose drive stable AAV1 formulations.</w:t>
      </w:r>
      <w:r>
        <w:rPr>
          <w:sz w:val="24"/>
          <w:szCs w:val="24"/>
          <w:vertAlign w:val="superscript"/>
        </w:rPr>
        <w:t xml:space="preserve">2</w:t>
      </w:r>
      <w:r>
        <w:rPr>
          <w:sz w:val="24"/>
          <w:szCs w:val="24"/>
        </w:rPr>
        <w:t xml:space="preserve"> Two features of these data warrant explicit note. First, the AAV1 kD values are substantially more negative than the AAV8 values, and in 1% sucrose both pH conditions are strongly negative, indicating net attractive particle–particle interaction in absolute terms even for the better-performing condition. The pH comparison is therefore informative as a ranking rather than as an absolute classification of either formulation as colloidally repulsive. Second, raising sucrose from 1% to 10% at pH 6 shifted kD from −157.8 to +60.2 mL/g, a sign change of substantially larger magnitude than the pH effect at either sucrose level. </w:t>
      </w:r>
      <w:r>
        <w:rPr>
          <w:b/>
          <w:bCs/>
          <w:color w:val="C00000"/>
          <w:sz w:val="24"/>
          <w:szCs w:val="24"/>
        </w:rPr>
        <w:t xml:space="preserve"> [NEEDS INPUT: Confirm whether the 1% and 10% sucrose series were run in the same session against the same reference; if not, note this, as the cross-series magnitude comparison is otherwise confounded. Also confirm whether a viscosity correction for 10% sucrose was applied — an uncorrected viscosity difference would shift apparent D and could contribute to this offset.] </w:t>
      </w:r>
    </w:p>
    <w:p>
      <w:pPr>
        <w:keepNext/>
        <w:spacing w:after="120" w:before="240"/>
      </w:pPr>
      <w:r>
        <w:rPr>
          <w:b/>
          <w:bCs/>
          <w:i/>
          <w:iCs/>
          <w:sz w:val="24"/>
          <w:szCs w:val="24"/>
        </w:rPr>
        <w:t xml:space="preserve">kD ranking agrees with one-month HTS stability outcomes</w:t>
      </w:r>
    </w:p>
    <w:p>
      <w:pPr>
        <w:spacing w:after="0" w:line="480"/>
      </w:pPr>
      <w:r>
        <w:rPr>
          <w:sz w:val="24"/>
          <w:szCs w:val="24"/>
        </w:rPr>
        <w:t xml:space="preserve">To test whether kD predicts formulation performance rather than merely recapitulating single-variable trends, four AAV1 formulations spanning the platform's salt, sucrose, and pH trends were selected from the HTS study (Table 3): A (110 mM NaCl, 8% sucrose, pH 6.0), B (170 mM NaCl, 5% sucrose, pH 7.3), C (30 mM NaCl, 12% sucrose, pH 6.0), and D (30 mM NaCl, 12% sucrose, pH 7.3), each in 10 mM buffer with 0.005% P188. On the basis of the HTS trends, A was expected to give the highest kD and D the lowest. At T = 30 days, these formulations showed measurable differences in genome titer recovery and particle size change (Figure 4</w:t>
      </w:r>
      <w:r>
        <w:rPr>
          <w:b/>
          <w:bCs/>
          <w:color w:val="C00000"/>
          <w:sz w:val="24"/>
          <w:szCs w:val="24"/>
        </w:rPr>
        <w:t xml:space="preserve"> [NEEDS INPUT: panel letter] </w:t>
      </w:r>
      <w:r>
        <w:rPr>
          <w:sz w:val="24"/>
          <w:szCs w:val="24"/>
        </w:rPr>
        <w:t xml:space="preserve">).</w:t>
      </w:r>
    </w:p>
    <w:p>
      <w:pPr>
        <w:spacing w:after="0" w:line="480"/>
      </w:pPr>
      <w:r>
        <w:rPr>
          <w:sz w:val="24"/>
          <w:szCs w:val="24"/>
        </w:rPr>
        <w:t xml:space="preserve">Measured kD values ranked in agreement with the one-month HTS stability outcomes across the four formulations (Figure 4</w:t>
      </w:r>
      <w:r>
        <w:rPr>
          <w:b/>
          <w:bCs/>
          <w:color w:val="C00000"/>
          <w:sz w:val="24"/>
          <w:szCs w:val="24"/>
        </w:rPr>
        <w:t xml:space="preserve"> [NEEDS INPUT: panel letter] </w:t>
      </w:r>
      <w:r>
        <w:rPr>
          <w:sz w:val="24"/>
          <w:szCs w:val="24"/>
        </w:rPr>
        <w:t xml:space="preserve">). </w:t>
      </w:r>
      <w:r>
        <w:rPr>
          <w:b/>
          <w:bCs/>
          <w:color w:val="C00000"/>
          <w:sz w:val="24"/>
          <w:szCs w:val="24"/>
        </w:rPr>
        <w:t xml:space="preserve"> [NEEDS INPUT: Insert the four measured kD values with their uncertainties and the corresponding HTS endpoint values, and state the rank-agreement statistic used. The deck presents this agreement graphically; a quantitative statement — Spearman correlation or equivalent across n = 4 — should appear here. Note that n = 4 supports a descriptive rank statement but not a strong claim of predictive validity, and the text is written accordingly.] </w:t>
      </w:r>
    </w:p>
    <w:p>
      <w:pPr>
        <w:spacing w:after="0" w:line="480"/>
      </w:pPr>
      <w:r>
        <w:rPr>
          <w:sz w:val="24"/>
          <w:szCs w:val="24"/>
        </w:rPr>
        <w:t xml:space="preserve">That kD tracks a multivariate composite of salt, sucrose, and pH rather than only isolated single-variable comparisons supports its use as an aggregate colloidal readout for AAV formulation. It also establishes the four-formulation set as a common reference against which the simulation results below can be evaluated.</w:t>
      </w:r>
    </w:p>
    <w:p>
      <w:pPr>
        <w:keepNext/>
        <w:spacing w:after="120" w:before="240"/>
      </w:pPr>
      <w:r>
        <w:rPr>
          <w:b/>
          <w:bCs/>
          <w:i/>
          <w:iCs/>
          <w:sz w:val="24"/>
          <w:szCs w:val="24"/>
        </w:rPr>
        <w:t xml:space="preserve">The 3-fold protrusion tips are the most exposed and most aggregation-prone capsid feature</w:t>
      </w:r>
    </w:p>
    <w:p>
      <w:pPr>
        <w:spacing w:after="0" w:line="480"/>
      </w:pPr>
      <w:r>
        <w:rPr>
          <w:sz w:val="24"/>
          <w:szCs w:val="24"/>
        </w:rPr>
        <w:t xml:space="preserve">kD reports the net sum of particle–particle interactions but does not localize them. To resolve which capsid features drive the measured behavior, we turned to all-atom MD simulation of the AAV1 capsid.</w:t>
      </w:r>
    </w:p>
    <w:p>
      <w:pPr>
        <w:spacing w:after="0" w:line="480"/>
      </w:pPr>
      <w:r>
        <w:rPr>
          <w:sz w:val="24"/>
          <w:szCs w:val="24"/>
        </w:rPr>
        <w:t xml:space="preserve">The AAV capsid surface presents three topologically distinct regions (Figure 5</w:t>
      </w:r>
      <w:r>
        <w:rPr>
          <w:b/>
          <w:bCs/>
          <w:color w:val="C00000"/>
          <w:sz w:val="24"/>
          <w:szCs w:val="24"/>
        </w:rPr>
        <w:t xml:space="preserve"> [NEEDS INPUT: panel letter] </w:t>
      </w:r>
      <w:r>
        <w:rPr>
          <w:sz w:val="24"/>
          <w:szCs w:val="24"/>
        </w:rPr>
        <w:t xml:space="preserve">). The 3-fold protrusions are the most exterior and prominent feature; their surface charge is carried by charged and basic residues, and they are responsible for receptor binding and cell tropism, showing the greatest serotype-to-serotype variance. The 5-fold pores are channels spanning the capsid, ringed by a canyon, composed largely of polar uncharged residues, and externalize at low pH during genome ejection and endosomal escape. The 2-fold depressions are buried between 3-fold protrusions with low surface exposure.</w:t>
      </w:r>
    </w:p>
    <w:p>
      <w:pPr>
        <w:spacing w:after="0" w:line="480"/>
      </w:pPr>
      <w:r>
        <w:rPr>
          <w:sz w:val="24"/>
          <w:szCs w:val="24"/>
        </w:rPr>
        <w:t xml:space="preserve">Ranking surface residues by SASA and SAP placed the 3-fold protrusion tips at the extreme of both metrics (Figure 5</w:t>
      </w:r>
      <w:r>
        <w:rPr>
          <w:b/>
          <w:bCs/>
          <w:color w:val="C00000"/>
          <w:sz w:val="24"/>
          <w:szCs w:val="24"/>
        </w:rPr>
        <w:t xml:space="preserve"> [NEEDS INPUT: panel letter] </w:t>
      </w:r>
      <w:r>
        <w:rPr>
          <w:sz w:val="24"/>
          <w:szCs w:val="24"/>
        </w:rPr>
        <w:t xml:space="preserve">). High SASA identifies residues available for capsid–excipient contact; high SAP identifies residues that are both hydrophobic and solvent-exposed and therefore carry large interaction potential with a neighboring particle.</w:t>
      </w:r>
      <w:r>
        <w:rPr>
          <w:sz w:val="24"/>
          <w:szCs w:val="24"/>
          <w:vertAlign w:val="superscript"/>
        </w:rPr>
        <w:t xml:space="preserve">5</w:t>
      </w:r>
      <w:r>
        <w:rPr>
          <w:sz w:val="24"/>
          <w:szCs w:val="24"/>
        </w:rPr>
        <w:t xml:space="preserve"> The coincidence of both maxima at the 3-fold tips identifies them as the principal candidate site for AAV aggregation and, correspondingly, the site at which a stabilizing excipient would be expected to act.</w:t>
      </w:r>
    </w:p>
    <w:p>
      <w:pPr>
        <w:keepNext/>
        <w:spacing w:after="120" w:before="240"/>
      </w:pPr>
      <w:r>
        <w:rPr>
          <w:b/>
          <w:bCs/>
          <w:i/>
          <w:iCs/>
          <w:sz w:val="24"/>
          <w:szCs w:val="24"/>
        </w:rPr>
        <w:t xml:space="preserve">pH 6 improves shielding of oppositely charged surface patches</w:t>
      </w:r>
    </w:p>
    <w:p>
      <w:pPr>
        <w:spacing w:after="0" w:line="480"/>
      </w:pPr>
      <w:r>
        <w:rPr>
          <w:sz w:val="24"/>
          <w:szCs w:val="24"/>
        </w:rPr>
        <w:t xml:space="preserve">Oppositely charged patches on adjacent particles produce attractive interaction and have been linked to reduced kD in mAbs.</w:t>
      </w:r>
      <w:r>
        <w:rPr>
          <w:sz w:val="24"/>
          <w:szCs w:val="24"/>
          <w:vertAlign w:val="superscript"/>
        </w:rPr>
        <w:t xml:space="preserve">7</w:t>
      </w:r>
      <w:r>
        <w:rPr>
          <w:sz w:val="24"/>
          <w:szCs w:val="24"/>
        </w:rPr>
        <w:t xml:space="preserve"> We therefore examined how pH and salt modulate charged-patch exposure on the AAV1 capsid (Figure 6).</w:t>
      </w:r>
    </w:p>
    <w:p>
      <w:pPr>
        <w:spacing w:after="0" w:line="480"/>
      </w:pPr>
      <w:r>
        <w:rPr>
          <w:sz w:val="24"/>
          <w:szCs w:val="24"/>
        </w:rPr>
        <w:t xml:space="preserve">Across the Batch 1 factorial, salt acted as expected, screening surface charge at the higher concentration. The pH dependence was localized to specific features. At pH 6, the negative 5-fold patches were relatively well shielded. At pH 8, the positive 3-fold protrusions extended beyond the modeled charge shielding layer and remained exposed. Because the 3-fold protrusions carry positive character while the 5-fold region carries negative character, simultaneous exposure of both presents an oppositely charged pair on the same particle surface—the configuration most conducive to inter-particle attraction. This exposure was greater at pH 8 than at pH 6.</w:t>
      </w:r>
    </w:p>
    <w:p>
      <w:pPr>
        <w:spacing w:after="0" w:line="480"/>
      </w:pPr>
      <w:r>
        <w:rPr>
          <w:sz w:val="24"/>
          <w:szCs w:val="24"/>
        </w:rPr>
        <w:t xml:space="preserve">Extending the analysis to the Batch 2 formulations, the most stable and least stable members of the kD-ranked set showed distinct electrostatic profiles: formulation A (pH 6, 110 mM NaCl) and formulation D (pH 7.3, 30 mM NaCl) differed in both patch magnitude and exposure (Figure 6</w:t>
      </w:r>
      <w:r>
        <w:rPr>
          <w:b/>
          <w:bCs/>
          <w:color w:val="C00000"/>
          <w:sz w:val="24"/>
          <w:szCs w:val="24"/>
        </w:rPr>
        <w:t xml:space="preserve"> [NEEDS INPUT: panel letter] </w:t>
      </w:r>
      <w:r>
        <w:rPr>
          <w:sz w:val="24"/>
          <w:szCs w:val="24"/>
        </w:rPr>
        <w:t xml:space="preserve">). </w:t>
      </w:r>
      <w:r>
        <w:rPr>
          <w:b/>
          <w:bCs/>
          <w:color w:val="C00000"/>
          <w:sz w:val="24"/>
          <w:szCs w:val="24"/>
        </w:rPr>
        <w:t xml:space="preserve"> [NEEDS INPUT: Quantify this comparison. The deck presents these as visual potential maps; a numerical descriptor — patch area above threshold, integrated potential, or an exposure index — should accompany the figure, as a purely qualitative map comparison will draw reviewer challenge on a central mechanistic claim.] </w:t>
      </w:r>
    </w:p>
    <w:p>
      <w:pPr>
        <w:spacing w:after="0" w:line="480"/>
      </w:pPr>
      <w:r>
        <w:rPr>
          <w:sz w:val="24"/>
          <w:szCs w:val="24"/>
        </w:rPr>
        <w:t xml:space="preserve">This provides a physical basis for the measured pH dependence of AAV1 kD: the more stable pH 6 condition corresponds to better shielding of oppositely charged patches, consistent with the reduced attraction inferred from the higher kD.</w:t>
      </w:r>
    </w:p>
    <w:p>
      <w:pPr>
        <w:keepNext/>
        <w:spacing w:after="120" w:before="240"/>
      </w:pPr>
      <w:r>
        <w:rPr>
          <w:b/>
          <w:bCs/>
          <w:i/>
          <w:iCs/>
          <w:sz w:val="24"/>
          <w:szCs w:val="24"/>
        </w:rPr>
        <w:t xml:space="preserve">Sucrose preferentially interacts with aggregation-prone residues</w:t>
      </w:r>
    </w:p>
    <w:p>
      <w:pPr>
        <w:spacing w:after="0" w:line="480"/>
      </w:pPr>
      <w:r>
        <w:rPr>
          <w:sz w:val="24"/>
          <w:szCs w:val="24"/>
        </w:rPr>
        <w:t xml:space="preserve">Preferential interaction coefficient analysis quantifies local excipient concentration relative to bulk. Mapped onto the capsid surface, sucrose PIC was highest at the 3-fold protrusion tips—the same residues identified as extremes of SAP and SASA (Figure 7). Sucrose also reduced overall capsid SASA. The spatial coincidence between sucrose accumulation and aggregation propensity mirrors the behavior reported for sugars near high-SAP regions of mAbs.</w:t>
      </w:r>
      <w:r>
        <w:rPr>
          <w:sz w:val="24"/>
          <w:szCs w:val="24"/>
          <w:vertAlign w:val="superscript"/>
        </w:rPr>
        <w:t xml:space="preserve">6</w:t>
      </w:r>
    </w:p>
    <w:p>
      <w:pPr>
        <w:spacing w:after="0" w:line="480"/>
      </w:pPr>
      <w:r>
        <w:rPr>
          <w:sz w:val="24"/>
          <w:szCs w:val="24"/>
        </w:rPr>
        <w:t xml:space="preserve">Across formulations, sucrose interaction was consistently higher at pH 6 than at pH 8, and the PIC ranking of the four Batch 2 formulations agreed with their kD ranking (Figure 7</w:t>
      </w:r>
      <w:r>
        <w:rPr>
          <w:b/>
          <w:bCs/>
          <w:color w:val="C00000"/>
          <w:sz w:val="24"/>
          <w:szCs w:val="24"/>
        </w:rPr>
        <w:t xml:space="preserve"> [NEEDS INPUT: panel letter] </w:t>
      </w:r>
      <w:r>
        <w:rPr>
          <w:sz w:val="24"/>
          <w:szCs w:val="24"/>
        </w:rPr>
        <w:t xml:space="preserve">). </w:t>
      </w:r>
      <w:r>
        <w:rPr>
          <w:b/>
          <w:bCs/>
          <w:color w:val="C00000"/>
          <w:sz w:val="24"/>
          <w:szCs w:val="24"/>
        </w:rPr>
        <w:t xml:space="preserve"> [NEEDS INPUT: Report the PIC values and the rank statistic for this agreement, as in the kD/HTS comparison. Again n = 4.] </w:t>
      </w:r>
    </w:p>
    <w:p>
      <w:pPr>
        <w:spacing w:after="0" w:line="480"/>
      </w:pPr>
      <w:r>
        <w:rPr>
          <w:sz w:val="24"/>
          <w:szCs w:val="24"/>
        </w:rPr>
        <w:t xml:space="preserve">Two mechanisms therefore covary with the same pH axis: pH 6 both improves charged-patch shielding and promotes stronger sucrose–capsid interaction. We note that the present design does not separate these contributions, since no condition in the matrix decouples them.</w:t>
      </w:r>
    </w:p>
    <w:p>
      <w:pPr>
        <w:keepNext/>
        <w:spacing w:after="120" w:before="240"/>
      </w:pPr>
      <w:r>
        <w:rPr>
          <w:b/>
          <w:bCs/>
          <w:i/>
          <w:iCs/>
          <w:sz w:val="24"/>
          <w:szCs w:val="24"/>
        </w:rPr>
        <w:t xml:space="preserve">Sucrose hydrogen bonds to the 3-fold protrusion tips</w:t>
      </w:r>
    </w:p>
    <w:p>
      <w:pPr>
        <w:spacing w:after="0" w:line="480"/>
      </w:pPr>
      <w:r>
        <w:rPr>
          <w:sz w:val="24"/>
          <w:szCs w:val="24"/>
        </w:rPr>
        <w:t xml:space="preserve">To determine whether the elevated local sucrose concentration reflects direct, specific contact rather than generalized crowding, hydrogen bonds between sucrose and capsid surface residues were enumerated using a 3.5 Å donor–acceptor distance and ≥150° angle criterion (Figure 8). Among capsid surface residues, the 3-fold protrusion tips exhibited the greatest hydrogen bond count, and sucrose showed a strong radial presence at the expected hydrogen-bonding distance from these residues.</w:t>
      </w:r>
    </w:p>
    <w:p>
      <w:pPr>
        <w:spacing w:after="0" w:line="480"/>
      </w:pPr>
      <w:r>
        <w:rPr>
          <w:sz w:val="24"/>
          <w:szCs w:val="24"/>
        </w:rPr>
        <w:t xml:space="preserve">The hydrogen-bonding map thus reproduces the PIC and SAP maps: the same residues that are most exposed, most aggregation-prone, and most enriched in local sucrose are also those most extensively hydrogen-bonded to sucrose. This parallels the proposed mechanism of sucrose stabilization in mAbs, where sucrose hydrogen bonds to aggregation-prone residues in CDR loops and between Fab chains.</w:t>
      </w:r>
      <w:r>
        <w:rPr>
          <w:sz w:val="24"/>
          <w:szCs w:val="24"/>
          <w:vertAlign w:val="superscript"/>
        </w:rPr>
        <w:t xml:space="preserve">6</w:t>
      </w:r>
      <w:r>
        <w:rPr>
          <w:sz w:val="24"/>
          <w:szCs w:val="24"/>
        </w:rPr>
        <w:t xml:space="preserve"> For AAV1, it supports a model in which sucrose stabilizes by directly engaging and shielding the capsid's principal aggregation-prone feature.</w:t>
      </w:r>
    </w:p>
    <w:p>
      <w:pPr>
        <w:keepNext/>
        <w:spacing w:after="180" w:before="360"/>
      </w:pPr>
      <w:r>
        <w:rPr>
          <w:b/>
          <w:bCs/>
          <w:sz w:val="24"/>
          <w:szCs w:val="24"/>
        </w:rPr>
        <w:t xml:space="preserve">DISCUSSION</w:t>
      </w:r>
    </w:p>
    <w:p>
      <w:pPr>
        <w:spacing w:after="0" w:line="480"/>
      </w:pPr>
      <w:r>
        <w:rPr>
          <w:sz w:val="24"/>
          <w:szCs w:val="24"/>
        </w:rPr>
        <w:t xml:space="preserve">This work establishes kD measurement for AAV and pairs it with atomistic simulation to give a mechanistic account of AAV colloidal stability. Three findings anchor the study: a kD workflow suited to AAV scattering behavior and concentration limits, agreement between kD ranking and independent one-month HTS stability outcomes, and convergent simulation evidence that the 3-fold protrusion tips are the dominant aggregation-prone feature and the site of sucrose action.</w:t>
      </w:r>
    </w:p>
    <w:p>
      <w:pPr>
        <w:spacing w:after="0" w:line="480"/>
      </w:pPr>
      <w:r>
        <w:rPr>
          <w:sz w:val="24"/>
          <w:szCs w:val="24"/>
        </w:rPr>
        <w:t xml:space="preserve">The method development result is largely a signal-to-noise story, and its structure is informative for others attempting the measurement. The limiting constraint for AAV kD is not detection—baseline scattering is matched at concentrations well within reach—but slope resolution, since the hard-sphere estimate places the concentration needed for a conventional slope roughly an order of magnitude beyond any accessible stable titer. Instrument selection therefore dominated. The spatial bias found on one platform is worth emphasizing as a general caution: a position-dependent bias in measured diffusion coefficient is comparatively benign for a single-point size measurement but directly corrupts a slope measured across wells, and would not be detected by routine size QC.</w:t>
      </w:r>
    </w:p>
    <w:p>
      <w:pPr>
        <w:spacing w:after="0" w:line="480"/>
      </w:pPr>
      <w:r>
        <w:rPr>
          <w:sz w:val="24"/>
          <w:szCs w:val="24"/>
        </w:rPr>
        <w:t xml:space="preserve">The interpretation of the AAV1 kD magnitudes requires care. Most AAV1 values measured here are strongly negative, indicating net attractive particle–particle interaction even in the better-performing pH condition. The pH comparison is thus a ranking between two net-attractive states rather than a contrast between a repulsive and an attractive one. This does not undermine the correlation with HTS outcome—relative ranking is what the application requires—but it does mean that AAV1 kD should not presently be read as an absolute colloidal stability classifier in the way positive-versus-negative kD is sometimes used for mAbs. The AAV8 comparison, which spans the sign change, behaves more conventionally. Whether this difference reflects genuine serotype behavior, the different concentration ranges accessible for the two serotypes, or an uncorrected contribution to the AAV1 measurements is not resolved by the present data. </w:t>
      </w:r>
      <w:r>
        <w:rPr>
          <w:b/>
          <w:bCs/>
          <w:color w:val="C00000"/>
          <w:sz w:val="24"/>
          <w:szCs w:val="24"/>
        </w:rPr>
        <w:t xml:space="preserve"> [NEEDS INPUT: If the sucrose viscosity correction question raised in Results is settled, state the resolution here, as it bears directly on this point.] </w:t>
      </w:r>
    </w:p>
    <w:p>
      <w:pPr>
        <w:spacing w:after="0" w:line="480"/>
      </w:pPr>
      <w:r>
        <w:rPr>
          <w:sz w:val="24"/>
          <w:szCs w:val="24"/>
        </w:rPr>
        <w:t xml:space="preserve">The simulation results supply the mechanism that bulk kD cannot. The convergence of four independent metrics—SASA, SAP, sucrose PIC, and hydrogen bond count—on the same structural feature is the strongest element of the computational analysis, since each metric is derived differently and none presupposes the others. That the 3-fold protrusions should emerge as the critical feature is consistent with their known biology: they are the most exterior region, carry the greatest serotype-to-serotype variance, and mediate receptor binding. If they are also the principal determinant of aggregation propensity, this offers a structural explanation for why formulation behavior transfers so poorly between serotypes, and predicts that serotypes differing most in 3-fold protrusion composition should differ most in formulation optimum.</w:t>
      </w:r>
    </w:p>
    <w:p>
      <w:pPr>
        <w:spacing w:after="0" w:line="480"/>
      </w:pPr>
      <w:r>
        <w:rPr>
          <w:sz w:val="24"/>
          <w:szCs w:val="24"/>
        </w:rPr>
        <w:t xml:space="preserve">The mechanistic account also suggests why sucrose and pH act as they do in this system. Sucrose accumulates at and hydrogen bonds to the 3-fold tips, reducing overall capsid SASA and shielding the highest-SAP residues from inter-particle contact. Lower pH improves shielding of oppositely charged patches, reducing the attractive configuration that lowers kD. Both effects favor pH 6 for AAV1, and both track the measured kD ranking.</w:t>
      </w:r>
    </w:p>
    <w:p>
      <w:pPr>
        <w:spacing w:after="0" w:line="480"/>
      </w:pPr>
      <w:r>
        <w:rPr>
          <w:sz w:val="24"/>
          <w:szCs w:val="24"/>
        </w:rPr>
        <w:t xml:space="preserve">Several limitations bound these conclusions. The simulations use a static protonation state assigned at the target pH with no mid-simulation titration, so pH-dependent conformational responses are not captured. The genome is not represented, which removes a substantial internal charge contribution and any genome-dependent capsid dynamics; encapsidated and empty capsids are not distinguished in the model. Resource constraints limited the simulations to single capsids, so the inter-particle interaction that kD actually measures is inferred from single-particle surface properties rather than simulated directly—the connection between the two levels is a physically motivated inference, not a demonstration. </w:t>
      </w:r>
      <w:r>
        <w:rPr>
          <w:b/>
          <w:bCs/>
          <w:color w:val="C00000"/>
          <w:sz w:val="24"/>
          <w:szCs w:val="24"/>
        </w:rPr>
        <w:t xml:space="preserve"> [NEEDS INPUT: Once the replicate count and trajectory length are supplied in Methods, state here whether trajectory length was sufficient for the reported metrics to converge, and show convergence in Supplemental Information; this is the most likely reviewer challenge to the computational work.] </w:t>
      </w:r>
      <w:r>
        <w:rPr>
          <w:sz w:val="24"/>
          <w:szCs w:val="24"/>
        </w:rPr>
        <w:t xml:space="preserve"> On the experimental side, the kD/HTS agreement rests on four formulations of one serotype, which supports a descriptive rank agreement but not a general claim of predictive validity. Finally, the correlational structure of the study should be stated plainly: sucrose interaction, charged-patch shielding, kD, and HTS stability covary across the conditions examined, and the causal direction is inferred from the mechanistic plausibility of the simulation results rather than established by intervention.</w:t>
      </w:r>
    </w:p>
    <w:p>
      <w:pPr>
        <w:spacing w:after="0" w:line="480"/>
      </w:pPr>
      <w:r>
        <w:rPr>
          <w:sz w:val="24"/>
          <w:szCs w:val="24"/>
        </w:rPr>
        <w:t xml:space="preserve">Several extensions follow directly. Multi-capsid simulations would allow the inter-particle interaction to be computed rather than inferred, and would permit direct comparison against measured kD. Incorporating the genome would test whether the internal charge contribution alters surface electrostatics materially. Broader serotype and excipient screening would test the prediction that 3-fold protrusion composition governs formulation transferability. Improving kD throughput would make the measurement practical as a routine complement to HTS rather than a confirmatory follow-up on selected conditions. </w:t>
      </w:r>
      <w:r>
        <w:rPr>
          <w:b/>
          <w:bCs/>
          <w:color w:val="C00000"/>
          <w:sz w:val="24"/>
          <w:szCs w:val="24"/>
        </w:rPr>
        <w:t xml:space="preserve"> [NEEDS INPUT: Consider whether a designed experiment decoupling sucrose concentration from pH is feasible; this would address the confounding noted in Results and would substantially strengthen the mechanistic claim.] </w:t>
      </w:r>
    </w:p>
    <w:p>
      <w:pPr>
        <w:spacing w:after="0" w:line="480"/>
      </w:pPr>
      <w:r>
        <w:rPr>
          <w:sz w:val="24"/>
          <w:szCs w:val="24"/>
        </w:rPr>
        <w:t xml:space="preserve">Taken together, these results show that a bulk colloidal measurement and an atomistic simulation can be brought into register for AAV, with each supplying what the other lacks: kD provides an experimentally measurable, formulation-level readout that tracks real stability outcomes, and MD identifies the specific surface features and excipient contacts that produce it. For a modality where formulation development remains largely empirical and poorly transferable between constructs, a mechanistic framework of this kind offers a route toward rational rather than exhaustive formulation design.</w:t>
      </w:r>
    </w:p>
    <w:p>
      <w:pPr>
        <w:keepNext/>
        <w:spacing w:after="180" w:before="360"/>
      </w:pPr>
      <w:r>
        <w:rPr>
          <w:b/>
          <w:bCs/>
          <w:sz w:val="24"/>
          <w:szCs w:val="24"/>
        </w:rPr>
        <w:t xml:space="preserve">DATA AVAILABILITY STATEMENT</w:t>
      </w:r>
    </w:p>
    <w:p>
      <w:pPr>
        <w:spacing w:after="0" w:line="480"/>
      </w:pPr>
      <w:r>
        <w:rPr>
          <w:b/>
          <w:bCs/>
          <w:color w:val="C00000"/>
          <w:sz w:val="24"/>
          <w:szCs w:val="24"/>
        </w:rPr>
        <w:t xml:space="preserve"> [NEEDS INPUT: Required by both target journals. State where the minimum dataset necessary to interpret, verify, and extend the findings can be accessed. For this manuscript that should cover: raw DLS diffusion coefficient measurements and the fitted regressions; HTS particle size and genome titer recovery data; MD input files (starting structure, topologies, parameter files, and .mdp or equivalent run configuration); production trajectories or a statement of where they are deposited given their size; and the analysis scripts used for SAP, SASA, PIC, and hydrogen bond calculation. Simulation input files and analysis code are commonly expected to be deposited in a public repository (e.g. Zenodo) with a DOI. If any data cannot be shared for proprietary reasons, state which and why.] </w:t>
      </w:r>
    </w:p>
    <w:p>
      <w:pPr>
        <w:keepNext/>
        <w:spacing w:after="180" w:before="360"/>
      </w:pPr>
      <w:r>
        <w:rPr>
          <w:b/>
          <w:bCs/>
          <w:sz w:val="24"/>
          <w:szCs w:val="24"/>
        </w:rPr>
        <w:t xml:space="preserve">ACKNOWLEDGMENTS</w:t>
      </w:r>
    </w:p>
    <w:p>
      <w:pPr>
        <w:spacing w:after="0" w:line="480"/>
      </w:pPr>
      <w:r>
        <w:rPr>
          <w:sz w:val="24"/>
          <w:szCs w:val="24"/>
        </w:rPr>
        <w:t xml:space="preserve">The authors thank Shuai Li, Xiaoyan Wang, Ariel Chen, Jonathan Wert, and Nick Lai; Li Zhi, Dean Liu, and Mohammed Shameem; and Christopher Foran, Prudvinath Buchupalli, and Ayyappan Chinnaiah for IT support. </w:t>
      </w:r>
      <w:r>
        <w:rPr>
          <w:b/>
          <w:bCs/>
          <w:color w:val="C00000"/>
          <w:sz w:val="24"/>
          <w:szCs w:val="24"/>
        </w:rPr>
        <w:t xml:space="preserve"> [NEEDS INPUT: Reassign these names between the Acknowledgments and the author list as appropriate — several are co-authors on the cited HTS platform paper and may meet authorship criteria here. Add all funding sources, institutional and corporate, and any commercial affiliations, consultancies, equity interests, or patent-licensing arrangements. Both target journals require this at submission and publish it with the paper.] </w:t>
      </w:r>
    </w:p>
    <w:p>
      <w:pPr>
        <w:keepNext/>
        <w:spacing w:after="180" w:before="360"/>
      </w:pPr>
      <w:r>
        <w:rPr>
          <w:b/>
          <w:bCs/>
          <w:sz w:val="24"/>
          <w:szCs w:val="24"/>
        </w:rPr>
        <w:t xml:space="preserve">AUTHOR CONTRIBUTIONS</w:t>
      </w:r>
    </w:p>
    <w:p>
      <w:pPr>
        <w:spacing w:after="0" w:line="480"/>
      </w:pPr>
      <w:r>
        <w:rPr>
          <w:b/>
          <w:bCs/>
          <w:color w:val="C00000"/>
          <w:sz w:val="24"/>
          <w:szCs w:val="24"/>
        </w:rPr>
        <w:t xml:space="preserve"> [NEEDS INPUT: Required by both journals and mandatory at submission. Use initials. Molecular Therapy encourages the CRediT taxonomy (https://credit.niso.org/). A starting structure for this manuscript: conceptualization; kD method development and DLS measurement; HTS study design and execution; MD simulation setup and production; computational analysis (SAP/SASA, electrostatics, PIC, hydrogen bonding); supervision; writing — original draft; writing — review and editing.] </w:t>
      </w:r>
    </w:p>
    <w:p>
      <w:pPr>
        <w:keepNext/>
        <w:spacing w:after="180" w:before="360"/>
      </w:pPr>
      <w:r>
        <w:rPr>
          <w:b/>
          <w:bCs/>
          <w:sz w:val="24"/>
          <w:szCs w:val="24"/>
        </w:rPr>
        <w:t xml:space="preserve">DECLARATION OF INTERESTS / COMPETING INTERESTS</w:t>
      </w:r>
    </w:p>
    <w:p>
      <w:pPr>
        <w:spacing w:after="0" w:line="480"/>
      </w:pPr>
      <w:r>
        <w:rPr>
          <w:b/>
          <w:bCs/>
          <w:color w:val="C00000"/>
          <w:sz w:val="24"/>
          <w:szCs w:val="24"/>
        </w:rPr>
        <w:t xml:space="preserve"> [NEEDS INPUT: Required by both journals as a separate section before the References. Declare any competing financial interests, or state explicitly that none exist. Molecular Therapy defines a conflict as: affiliation with a yearly financial benefit exceeding $10,000; greater than 5% ownership of a company with related interests; or research funding by a company with related interests. This must also appear in the cover letter.] </w:t>
      </w:r>
    </w:p>
    <w:p>
      <w:pPr>
        <w:keepNext/>
        <w:spacing w:after="180" w:before="360"/>
      </w:pPr>
      <w:r>
        <w:rPr>
          <w:b/>
          <w:bCs/>
          <w:sz w:val="24"/>
          <w:szCs w:val="24"/>
        </w:rPr>
        <w:t xml:space="preserve">ETHICAL APPROVAL</w:t>
      </w:r>
    </w:p>
    <w:p>
      <w:pPr>
        <w:spacing w:after="0" w:line="480"/>
      </w:pPr>
      <w:r>
        <w:rPr>
          <w:b/>
          <w:bCs/>
          <w:color w:val="C00000"/>
          <w:sz w:val="24"/>
          <w:szCs w:val="24"/>
        </w:rPr>
        <w:t xml:space="preserve"> [NEEDS INPUT: Gene Therapy requires this as a standalone statement; if ethical approval was not required, an explanation of why must be provided. This study appears to involve neither human subjects nor animal experiments, in which case a brief statement to that effect is sufficient.] </w:t>
      </w:r>
    </w:p>
    <w:p>
      <w:r>
        <w:br w:type="page"/>
      </w:r>
    </w:p>
    <w:p>
      <w:pPr>
        <w:keepNext/>
        <w:spacing w:after="180" w:before="360"/>
      </w:pPr>
      <w:r>
        <w:rPr>
          <w:b/>
          <w:bCs/>
          <w:sz w:val="24"/>
          <w:szCs w:val="24"/>
        </w:rPr>
        <w:t xml:space="preserve">REFERENCES</w:t>
      </w:r>
    </w:p>
    <w:p>
      <w:pPr>
        <w:spacing w:after="120" w:before="120" w:line="300"/>
      </w:pPr>
      <w:r>
        <w:rPr>
          <w:i/>
          <w:iCs/>
          <w:color w:val="595959"/>
          <w:sz w:val="20"/>
          <w:szCs w:val="20"/>
        </w:rPr>
        <w:t xml:space="preserve">Listed in order of first citation in the text. Citation formatting must be converted to the chosen journal's style before submission: Molecular Therapy uses superscript numerals placed after punctuation, with the first 10 authors listed before et al. and PubMed journal abbreviations. Gene Therapy uses Vancouver style with the first 6 authors listed before et al. and Index Medicus abbreviations.</w:t>
      </w:r>
    </w:p>
    <w:p>
      <w:pPr>
        <w:spacing w:after="160" w:line="480"/>
      </w:pPr>
      <w:r>
        <w:rPr>
          <w:sz w:val="24"/>
          <w:szCs w:val="24"/>
        </w:rPr>
        <w:t xml:space="preserve">1. </w:t>
      </w:r>
      <w:r>
        <w:rPr>
          <w:sz w:val="24"/>
          <w:szCs w:val="24"/>
        </w:rPr>
        <w:t xml:space="preserve">Fraser, J., Qu, G., Allen, J.M., Olson, E.M., McCarty, D.M., and Wright, J.F. (2005). Identification of factors that contribute to recombinant AAV2 particle aggregation and methods to prevent its occurrence during vector purification and formulation. Mol. Ther. 12, 171–178. </w:t>
      </w:r>
      <w:hyperlink w:history="1" r:id="rIddekgk1w0pvp7fkqgrxchc">
        <w:r>
          <w:rPr>
            <w:rStyle w:val="Hyperlink"/>
            <w:sz w:val="24"/>
            <w:szCs w:val="24"/>
          </w:rPr>
          <w:t xml:space="preserve">https://doi.org/10.1016/j.ymthe.2005.02.021</w:t>
        </w:r>
      </w:hyperlink>
      <w:r>
        <w:rPr>
          <w:b/>
          <w:bCs/>
          <w:color w:val="C00000"/>
          <w:sz w:val="20"/>
          <w:szCs w:val="20"/>
        </w:rPr>
        <w:t xml:space="preserve">  [VERIFY: Author list beyond first author requires verification against the published paper.]</w:t>
      </w:r>
    </w:p>
    <w:p>
      <w:pPr>
        <w:spacing w:after="160" w:line="480"/>
      </w:pPr>
      <w:r>
        <w:rPr>
          <w:sz w:val="24"/>
          <w:szCs w:val="24"/>
        </w:rPr>
        <w:t xml:space="preserve">2. </w:t>
      </w:r>
      <w:r>
        <w:rPr>
          <w:sz w:val="24"/>
          <w:szCs w:val="24"/>
        </w:rPr>
        <w:t xml:space="preserve">Li, S., Wang, X., Zhi, L., Shameem, M., and Liu, D. (2026). A high-throughput automation platform for accelerated AAV stability optimization. Pharmaceutics 18, 608. </w:t>
      </w:r>
      <w:hyperlink w:history="1" r:id="rIdtedbkr8agn_drlrvy47x-">
        <w:r>
          <w:rPr>
            <w:rStyle w:val="Hyperlink"/>
            <w:sz w:val="24"/>
            <w:szCs w:val="24"/>
          </w:rPr>
          <w:t xml:space="preserve">https://doi.org/10.3390/pharmaceutics18050608</w:t>
        </w:r>
      </w:hyperlink>
    </w:p>
    <w:p>
      <w:pPr>
        <w:spacing w:after="160" w:line="480"/>
      </w:pPr>
      <w:r>
        <w:rPr>
          <w:sz w:val="24"/>
          <w:szCs w:val="24"/>
        </w:rPr>
        <w:t xml:space="preserve">3. </w:t>
      </w:r>
      <w:r>
        <w:rPr>
          <w:sz w:val="24"/>
          <w:szCs w:val="24"/>
        </w:rPr>
        <w:t xml:space="preserve">Agmo Hernández, V. (2023). An overview of surface forces and the DLVO theory. ChemTexts 9, 10. </w:t>
      </w:r>
      <w:hyperlink w:history="1" r:id="rIdqbgsbvusmcdclorggzaqx">
        <w:r>
          <w:rPr>
            <w:rStyle w:val="Hyperlink"/>
            <w:sz w:val="24"/>
            <w:szCs w:val="24"/>
          </w:rPr>
          <w:t xml:space="preserve">https://doi.org/10.1007/s40828-023-00182-9</w:t>
        </w:r>
      </w:hyperlink>
    </w:p>
    <w:p>
      <w:pPr>
        <w:spacing w:after="160" w:line="480"/>
      </w:pPr>
      <w:r>
        <w:rPr>
          <w:sz w:val="24"/>
          <w:szCs w:val="24"/>
        </w:rPr>
        <w:t xml:space="preserve">4. </w:t>
      </w:r>
      <w:r>
        <w:rPr>
          <w:sz w:val="24"/>
          <w:szCs w:val="24"/>
        </w:rPr>
        <w:t xml:space="preserve">He, F., Woods, C.E., Litowski, J.R., Roschen, L.A., Gadgil, H.S., Razinkov, V.I., and Kerwin, B.A. (2011). High-throughput assessment of thermal and colloidal stability parameters for monoclonal antibody formulations. J. Pharm. Sci. 100, 5126–5141. </w:t>
      </w:r>
      <w:hyperlink w:history="1" r:id="rIdmbwczmnfku942rzzxo1ff">
        <w:r>
          <w:rPr>
            <w:rStyle w:val="Hyperlink"/>
            <w:sz w:val="24"/>
            <w:szCs w:val="24"/>
          </w:rPr>
          <w:t xml:space="preserve">https://doi.org/10.1002/jps.22712</w:t>
        </w:r>
      </w:hyperlink>
      <w:r>
        <w:rPr>
          <w:b/>
          <w:bCs/>
          <w:color w:val="C00000"/>
          <w:sz w:val="20"/>
          <w:szCs w:val="20"/>
        </w:rPr>
        <w:t xml:space="preserve">  [VERIFY: Author list beyond first author requires verification against the published paper.]</w:t>
      </w:r>
    </w:p>
    <w:p>
      <w:pPr>
        <w:spacing w:after="160" w:line="480"/>
      </w:pPr>
      <w:r>
        <w:rPr>
          <w:sz w:val="24"/>
          <w:szCs w:val="24"/>
        </w:rPr>
        <w:t xml:space="preserve">5. </w:t>
      </w:r>
      <w:r>
        <w:rPr>
          <w:sz w:val="24"/>
          <w:szCs w:val="24"/>
        </w:rPr>
        <w:t xml:space="preserve">Chennamsetty, N., Voynov, V., Kayser, V., Helk, B., and Trout, B.L. (2010). Prediction of aggregation prone regions of therapeutic proteins. J. Phys. Chem. B 114, 6614–6624. </w:t>
      </w:r>
      <w:hyperlink w:history="1" r:id="rIdnmezjhbgfexx66d5ssq-o">
        <w:r>
          <w:rPr>
            <w:rStyle w:val="Hyperlink"/>
            <w:sz w:val="24"/>
            <w:szCs w:val="24"/>
          </w:rPr>
          <w:t xml:space="preserve">https://doi.org/10.1021/jp911706q</w:t>
        </w:r>
      </w:hyperlink>
    </w:p>
    <w:p>
      <w:pPr>
        <w:spacing w:after="160" w:line="480"/>
      </w:pPr>
      <w:r>
        <w:rPr>
          <w:sz w:val="24"/>
          <w:szCs w:val="24"/>
        </w:rPr>
        <w:t xml:space="preserve">6. </w:t>
      </w:r>
      <w:r>
        <w:rPr>
          <w:sz w:val="24"/>
          <w:szCs w:val="24"/>
        </w:rPr>
        <w:t xml:space="preserve">Cloutier, T., Sudrik, C., Mody, N., Sathish, H.A., and Trout, B.L. (2019). Molecular computations of preferential interaction coefficients of IgG1 monoclonal antibodies with sorbitol, sucrose, and trehalose and the impact of these excipients on aggregation and viscosity. Mol. Pharm. 16, 3657–3664. </w:t>
      </w:r>
      <w:hyperlink w:history="1" r:id="rIdjuk7li6ikkif1rf3kx_br">
        <w:r>
          <w:rPr>
            <w:rStyle w:val="Hyperlink"/>
            <w:sz w:val="24"/>
            <w:szCs w:val="24"/>
          </w:rPr>
          <w:t xml:space="preserve">https://doi.org/10.1021/acs.molpharmaceut.9b00545</w:t>
        </w:r>
      </w:hyperlink>
    </w:p>
    <w:p>
      <w:pPr>
        <w:spacing w:after="160" w:line="480"/>
      </w:pPr>
      <w:r>
        <w:rPr>
          <w:sz w:val="24"/>
          <w:szCs w:val="24"/>
        </w:rPr>
        <w:t xml:space="preserve">7. </w:t>
      </w:r>
      <w:r>
        <w:rPr>
          <w:sz w:val="24"/>
          <w:szCs w:val="24"/>
        </w:rPr>
        <w:t xml:space="preserve">Roberts, D., Keeling, R., Tracka, M., van der Walle, C.F., Uddin, S., Warwicker, J., and Curtis, R. (2014). The role of electrostatics in protein–protein interactions of a monoclonal antibody. Mol. Pharm. 11, 2475–2489. </w:t>
      </w:r>
      <w:hyperlink w:history="1" r:id="rIdubugu-hy-jrc3ubrowjlv">
        <w:r>
          <w:rPr>
            <w:rStyle w:val="Hyperlink"/>
            <w:sz w:val="24"/>
            <w:szCs w:val="24"/>
          </w:rPr>
          <w:t xml:space="preserve">https://doi.org/10.1021/mp5002334</w:t>
        </w:r>
      </w:hyperlink>
    </w:p>
    <w:p>
      <w:pPr>
        <w:spacing w:after="160" w:line="480"/>
      </w:pPr>
      <w:r>
        <w:rPr>
          <w:sz w:val="24"/>
          <w:szCs w:val="24"/>
        </w:rPr>
        <w:t xml:space="preserve">8. </w:t>
      </w:r>
      <w:r>
        <w:rPr>
          <w:sz w:val="24"/>
          <w:szCs w:val="24"/>
        </w:rPr>
        <w:t xml:space="preserve">Abraham, M.J., Murtola, T., Schulz, R., Páll, S., Smith, J.C., Hess, B., and Lindahl, E. (2015). GROMACS: high performance molecular simulations through multi-level parallelism from laptops to supercomputers. SoftwareX 1–2, 19–25. </w:t>
      </w:r>
      <w:hyperlink w:history="1" r:id="rIdklfhzslmiqrlirb7pmmf4">
        <w:r>
          <w:rPr>
            <w:rStyle w:val="Hyperlink"/>
            <w:sz w:val="24"/>
            <w:szCs w:val="24"/>
          </w:rPr>
          <w:t xml:space="preserve">https://doi.org/10.1016/j.softx.2015.06.001</w:t>
        </w:r>
      </w:hyperlink>
    </w:p>
    <w:p>
      <w:pPr>
        <w:spacing w:after="160" w:line="480"/>
      </w:pPr>
      <w:r>
        <w:rPr>
          <w:sz w:val="24"/>
          <w:szCs w:val="24"/>
        </w:rPr>
        <w:t xml:space="preserve">9. </w:t>
      </w:r>
      <w:r>
        <w:rPr>
          <w:sz w:val="24"/>
          <w:szCs w:val="24"/>
        </w:rPr>
        <w:t xml:space="preserve">Dolinsky, T.J., Nielsen, J.E., McCammon, J.A., and Baker, N.A. (2004). PDB2PQR: an automated pipeline for the setup of Poisson–Boltzmann electrostatics calculations. Nucleic Acids Res. 32, W665–W667. </w:t>
      </w:r>
      <w:hyperlink w:history="1" r:id="rIdbqi7tnkbo1f_lj0ljcpxq">
        <w:r>
          <w:rPr>
            <w:rStyle w:val="Hyperlink"/>
            <w:sz w:val="24"/>
            <w:szCs w:val="24"/>
          </w:rPr>
          <w:t xml:space="preserve">https://doi.org/10.1093/nar/gkh381</w:t>
        </w:r>
      </w:hyperlink>
    </w:p>
    <w:p>
      <w:pPr>
        <w:spacing w:after="160" w:line="480"/>
      </w:pPr>
      <w:r>
        <w:rPr>
          <w:sz w:val="24"/>
          <w:szCs w:val="24"/>
        </w:rPr>
        <w:t xml:space="preserve">10. </w:t>
      </w:r>
      <w:r>
        <w:rPr>
          <w:sz w:val="24"/>
          <w:szCs w:val="24"/>
        </w:rPr>
        <w:t xml:space="preserve">Venkatakrishnan, B., Yarbrough, J., Domsic, J., Bennett, A., Bothner, B., Kozyreva, O.G., Samulski, R.J., Muzyczka, N., McKenna, R., and Agbandje-McKenna, M. (2013). Structure and dynamics of adeno-associated virus serotype 1 VP1-unique N-terminal domain and its role in capsid trafficking. J. Virol. 87, 4974–4984. </w:t>
      </w:r>
      <w:hyperlink w:history="1" r:id="rIdfk7rf9hlu5wtrnd4jawyi">
        <w:r>
          <w:rPr>
            <w:rStyle w:val="Hyperlink"/>
            <w:sz w:val="24"/>
            <w:szCs w:val="24"/>
          </w:rPr>
          <w:t xml:space="preserve">https://doi.org/10.1128/jvi.02524-12</w:t>
        </w:r>
      </w:hyperlink>
      <w:r>
        <w:rPr>
          <w:b/>
          <w:bCs/>
          <w:color w:val="C00000"/>
          <w:sz w:val="20"/>
          <w:szCs w:val="20"/>
        </w:rPr>
        <w:t xml:space="preserve">  [VERIFY: Author list and page range require verification against the published paper.]</w:t>
      </w:r>
    </w:p>
    <w:p>
      <w:pPr>
        <w:spacing w:after="160" w:line="480"/>
      </w:pPr>
      <w:r>
        <w:rPr>
          <w:sz w:val="24"/>
          <w:szCs w:val="24"/>
        </w:rPr>
        <w:t xml:space="preserve">11. </w:t>
      </w:r>
      <w:r>
        <w:rPr>
          <w:sz w:val="24"/>
          <w:szCs w:val="24"/>
        </w:rPr>
        <w:t xml:space="preserve">Jurrus, E., Engel, D., Star, K., Monson, K., Brandi, J., Felberg, L.E., Brookes, D.H., Wilson, L., Chen, J., Liles, K., et al. (2018). Improvements to the APBS biomolecular solvation software suite. Protein Sci. 27, 112–128. </w:t>
      </w:r>
      <w:hyperlink w:history="1" r:id="rIdlpkbghmd8aaujcwcoid1m">
        <w:r>
          <w:rPr>
            <w:rStyle w:val="Hyperlink"/>
            <w:sz w:val="24"/>
            <w:szCs w:val="24"/>
          </w:rPr>
          <w:t xml:space="preserve">https://doi.org/10.1002/pro.3280</w:t>
        </w:r>
      </w:hyperlink>
    </w:p>
    <w:p>
      <w:r>
        <w:br w:type="page"/>
      </w:r>
    </w:p>
    <w:p>
      <w:pPr>
        <w:keepNext/>
        <w:spacing w:after="180" w:before="360"/>
      </w:pPr>
      <w:r>
        <w:rPr>
          <w:b/>
          <w:bCs/>
          <w:sz w:val="24"/>
          <w:szCs w:val="24"/>
        </w:rPr>
        <w:t xml:space="preserve">LIST OF FIGURE CAPTIONS</w:t>
      </w:r>
    </w:p>
    <w:p>
      <w:pPr>
        <w:spacing w:after="120" w:before="120" w:line="300"/>
      </w:pPr>
      <w:r>
        <w:rPr>
          <w:i/>
          <w:iCs/>
          <w:color w:val="595959"/>
          <w:sz w:val="20"/>
          <w:szCs w:val="20"/>
        </w:rPr>
        <w:t xml:space="preserve">Molecular Therapy requires this list to appear after the References, with captions omitted from the high-resolution figure files themselves. Each legend must open with a brief title describing the whole figure without citing specific panels, followed by a panel-by-panel description, and must define the error measure for any pooled data.</w:t>
      </w:r>
    </w:p>
    <w:p>
      <w:pPr>
        <w:keepNext/>
        <w:spacing w:after="60" w:before="200"/>
      </w:pPr>
      <w:r>
        <w:rPr>
          <w:b/>
          <w:bCs/>
          <w:sz w:val="24"/>
          <w:szCs w:val="24"/>
        </w:rPr>
        <w:t xml:space="preserve">Figure 1. </w:t>
      </w:r>
      <w:r>
        <w:rPr>
          <w:b/>
          <w:bCs/>
          <w:sz w:val="24"/>
          <w:szCs w:val="24"/>
        </w:rPr>
        <w:t xml:space="preserve">Instrument screening for AAV kD measurement.</w:t>
      </w:r>
    </w:p>
    <w:p>
      <w:pPr>
        <w:spacing w:after="120" w:line="360"/>
      </w:pPr>
      <w:r>
        <w:rPr>
          <w:sz w:val="24"/>
          <w:szCs w:val="24"/>
        </w:rPr>
        <w:t xml:space="preserve">Comparison of three DLS platforms against the baseline and slope constraints derived for AAV. (A) Representative failed kD measurement on the Unchained Labs Uncle, showing insufficient baseline signal at 0.3–1 mg/mL. (B) Representative kD measurement on the Unchained Labs Stunner, showing a weak trend at 0.3–1 mg/mL. (C) Stunner measurements at the highest stable titers accessible across formulations (3–8 mg/mL), showing persistent noise and inconsistency. (D) Spatial distribution of measured diffusion coefficient for identical samples loaded in randomized well positions on the Stunner, demonstrating position-dependent bias. (E) Representative successful kD measurements on the Wyatt DynaPro PR3 at 0.1–0.4 mg/mL across formulations. </w:t>
      </w:r>
      <w:r>
        <w:rPr>
          <w:b/>
          <w:bCs/>
          <w:color w:val="C00000"/>
          <w:sz w:val="24"/>
          <w:szCs w:val="24"/>
        </w:rPr>
        <w:t xml:space="preserve"> [NEEDS INPUT: Confirm panel order and lettering against the final figure. Define all error measures explicitly (e.g. 'Data are represented as mean ± SEM') and state n for each panel.] </w:t>
      </w:r>
    </w:p>
    <w:p>
      <w:pPr>
        <w:keepNext/>
        <w:spacing w:after="60" w:before="200"/>
      </w:pPr>
      <w:r>
        <w:rPr>
          <w:b/>
          <w:bCs/>
          <w:sz w:val="24"/>
          <w:szCs w:val="24"/>
        </w:rPr>
        <w:t xml:space="preserve">Figure 2. </w:t>
      </w:r>
      <w:r>
        <w:rPr>
          <w:b/>
          <w:bCs/>
          <w:sz w:val="24"/>
          <w:szCs w:val="24"/>
        </w:rPr>
        <w:t xml:space="preserve">AAV8 kD confirms improved colloidal stability at higher salt.</w:t>
      </w:r>
    </w:p>
    <w:p>
      <w:pPr>
        <w:spacing w:after="120" w:line="360"/>
      </w:pPr>
      <w:r>
        <w:rPr>
          <w:sz w:val="24"/>
          <w:szCs w:val="24"/>
        </w:rPr>
        <w:t xml:space="preserve">Normalized diffusion coefficient versus concentration for AAV8 in 10 mM phosphate, 0.01% P188, pH 7.3, at 300 mM NaCl and 30 mM NaCl, measured up to 2.32 mg/mL (2.64 × 10¹⁴ vg/mL). Fitted kD values are 12.7 mL/g (300 mM NaCl) and −7.5 mL/g (30 mM NaCl). Linear regressions were distinct by ANCOVA (p &lt; 0.0001). </w:t>
      </w:r>
      <w:r>
        <w:rPr>
          <w:b/>
          <w:bCs/>
          <w:color w:val="C00000"/>
          <w:sz w:val="24"/>
          <w:szCs w:val="24"/>
        </w:rPr>
        <w:t xml:space="preserve"> [NEEDS INPUT: Define error measure and state n.] </w:t>
      </w:r>
    </w:p>
    <w:p>
      <w:pPr>
        <w:keepNext/>
        <w:spacing w:after="60" w:before="200"/>
      </w:pPr>
      <w:r>
        <w:rPr>
          <w:b/>
          <w:bCs/>
          <w:sz w:val="24"/>
          <w:szCs w:val="24"/>
        </w:rPr>
        <w:t xml:space="preserve">Figure 3. </w:t>
      </w:r>
      <w:r>
        <w:rPr>
          <w:b/>
          <w:bCs/>
          <w:sz w:val="24"/>
          <w:szCs w:val="24"/>
        </w:rPr>
        <w:t xml:space="preserve">AAV1 kD captures the expected pH-dependent stability trend.</w:t>
      </w:r>
    </w:p>
    <w:p>
      <w:pPr>
        <w:spacing w:after="120" w:line="360"/>
      </w:pPr>
      <w:r>
        <w:rPr>
          <w:sz w:val="24"/>
          <w:szCs w:val="24"/>
        </w:rPr>
        <w:t xml:space="preserve">Normalized diffusion coefficient versus concentration for AAV1 in 10 mM phosphate, 30 mM NaCl, 0.005% P188 at pH 6.0 and pH 8.0. (A) 1% sucrose, measured up to 0.446 mg/mL (5.26 × 10¹³ vg/mL); kD = −157.8 mL/g (pH 6) and −270.9 mL/g (pH 8). (B) 10% sucrose, measured up to 0.462 mg/mL; kD = +60.2 mL/g (pH 6) and −138.0 mL/g (pH 8). Linear regressions were distinct by ANCOVA (p &lt; 0.0001) in (A). </w:t>
      </w:r>
      <w:r>
        <w:rPr>
          <w:b/>
          <w:bCs/>
          <w:color w:val="C00000"/>
          <w:sz w:val="24"/>
          <w:szCs w:val="24"/>
        </w:rPr>
        <w:t xml:space="preserve"> [NEEDS INPUT: Confirm whether the ANCOVA result applies to (B) as well. Define error measures and state n.] </w:t>
      </w:r>
    </w:p>
    <w:p>
      <w:pPr>
        <w:keepNext/>
        <w:spacing w:after="60" w:before="200"/>
      </w:pPr>
      <w:r>
        <w:rPr>
          <w:b/>
          <w:bCs/>
          <w:sz w:val="24"/>
          <w:szCs w:val="24"/>
        </w:rPr>
        <w:t xml:space="preserve">Figure 4. </w:t>
      </w:r>
      <w:r>
        <w:rPr>
          <w:b/>
          <w:bCs/>
          <w:sz w:val="24"/>
          <w:szCs w:val="24"/>
        </w:rPr>
        <w:t xml:space="preserve">kD ranking aligns with one-month high-throughput stability outcomes.</w:t>
      </w:r>
    </w:p>
    <w:p>
      <w:pPr>
        <w:spacing w:after="120" w:line="360"/>
      </w:pPr>
      <w:r>
        <w:rPr>
          <w:sz w:val="24"/>
          <w:szCs w:val="24"/>
        </w:rPr>
        <w:t xml:space="preserve">(A) Genome titer recovery at T = 30 days, 5 °C for the AAV1 HTS formulation space, with the four selected formulations (A–D, Table 3) indicated. (B) Measured kD for formulations A–D. (C) Correspondence between kD ranking and HTS stability ranking. </w:t>
      </w:r>
      <w:r>
        <w:rPr>
          <w:b/>
          <w:bCs/>
          <w:color w:val="C00000"/>
          <w:sz w:val="24"/>
          <w:szCs w:val="24"/>
        </w:rPr>
        <w:t xml:space="preserve"> [NEEDS INPUT: Insert measured kD values with uncertainties, define error measures, state n, and state the rank statistic used.] </w:t>
      </w:r>
    </w:p>
    <w:p>
      <w:pPr>
        <w:keepNext/>
        <w:spacing w:after="60" w:before="200"/>
      </w:pPr>
      <w:r>
        <w:rPr>
          <w:b/>
          <w:bCs/>
          <w:sz w:val="24"/>
          <w:szCs w:val="24"/>
        </w:rPr>
        <w:t xml:space="preserve">Figure 5. </w:t>
      </w:r>
      <w:r>
        <w:rPr>
          <w:b/>
          <w:bCs/>
          <w:sz w:val="24"/>
          <w:szCs w:val="24"/>
        </w:rPr>
        <w:t xml:space="preserve">AAV1 capsid surface topology and aggregation propensity.</w:t>
      </w:r>
    </w:p>
    <w:p>
      <w:pPr>
        <w:spacing w:after="120" w:line="360"/>
      </w:pPr>
      <w:r>
        <w:rPr>
          <w:sz w:val="24"/>
          <w:szCs w:val="24"/>
        </w:rPr>
        <w:t xml:space="preserve">(A) Surface topology of the AAV1 capsid showing the 3-fold protrusions, 5-fold pores, and 2-fold depressions. Region boundaries: 3-fold, residues 446–463, 531–556, 581–597; 5-fold, residues 324–333, 656–658, 670–672. (B) Per-residue solvent-accessible surface area (SASA) mapped onto the capsid surface. (C) Per-residue spatial aggregation propensity (SAP) mapped onto the capsid surface. Both metrics reach their maxima at the 3-fold protrusion tips. </w:t>
      </w:r>
      <w:r>
        <w:rPr>
          <w:b/>
          <w:bCs/>
          <w:color w:val="C00000"/>
          <w:sz w:val="24"/>
          <w:szCs w:val="24"/>
        </w:rPr>
        <w:t xml:space="preserve"> [NEEDS INPUT: State the color scale limits and the trajectory averaging window for (B) and (C).] </w:t>
      </w:r>
    </w:p>
    <w:p>
      <w:pPr>
        <w:keepNext/>
        <w:spacing w:after="60" w:before="200"/>
      </w:pPr>
      <w:r>
        <w:rPr>
          <w:b/>
          <w:bCs/>
          <w:sz w:val="24"/>
          <w:szCs w:val="24"/>
        </w:rPr>
        <w:t xml:space="preserve">Figure 6. </w:t>
      </w:r>
      <w:r>
        <w:rPr>
          <w:b/>
          <w:bCs/>
          <w:sz w:val="24"/>
          <w:szCs w:val="24"/>
        </w:rPr>
        <w:t xml:space="preserve">pH and salt modulate charged-patch shielding on the AAV1 capsid.</w:t>
      </w:r>
    </w:p>
    <w:p>
      <w:pPr>
        <w:spacing w:after="120" w:line="360"/>
      </w:pPr>
      <w:r>
        <w:rPr>
          <w:sz w:val="24"/>
          <w:szCs w:val="24"/>
        </w:rPr>
        <w:t xml:space="preserve">Electrostatic potential maps generated with PDB2PQR and APBS from full simulation trajectories. (A–D) AAV1 at pH 6 with 30 mM and 200 mM NaCl and at pH 8 with 30 mM and 200 mM NaCl, showing relative charge from negative to positive. At pH 6 the negative 5-fold patches are relatively shielded; at pH 8 the positive 3-fold protrusions extend beyond the charge shielding layer. (E–F) Electrostatic profiles of formulation A (pH 6, 110 mM NaCl; most stable of the kD-ranked set) and formulation D (pH 7.3, 30 mM NaCl; least stable). </w:t>
      </w:r>
      <w:r>
        <w:rPr>
          <w:b/>
          <w:bCs/>
          <w:color w:val="C00000"/>
          <w:sz w:val="24"/>
          <w:szCs w:val="24"/>
        </w:rPr>
        <w:t xml:space="preserve"> [NEEDS INPUT: Confirm panel lettering and state the PB calculation settings and potential scale limits.] </w:t>
      </w:r>
    </w:p>
    <w:p>
      <w:pPr>
        <w:keepNext/>
        <w:spacing w:after="60" w:before="200"/>
      </w:pPr>
      <w:r>
        <w:rPr>
          <w:b/>
          <w:bCs/>
          <w:sz w:val="24"/>
          <w:szCs w:val="24"/>
        </w:rPr>
        <w:t xml:space="preserve">Figure 7. </w:t>
      </w:r>
      <w:r>
        <w:rPr>
          <w:b/>
          <w:bCs/>
          <w:sz w:val="24"/>
          <w:szCs w:val="24"/>
        </w:rPr>
        <w:t xml:space="preserve">Sucrose preferentially interacts with aggregation-prone capsid residues.</w:t>
      </w:r>
    </w:p>
    <w:p>
      <w:pPr>
        <w:spacing w:after="120" w:line="360"/>
      </w:pPr>
      <w:r>
        <w:rPr>
          <w:sz w:val="24"/>
          <w:szCs w:val="24"/>
        </w:rPr>
        <w:t xml:space="preserve">(A) Relative preferential interaction coefficient (PIC) for sucrose mapped onto the AAV1 capsid surface. (B) Relative spatial aggregation propensity for the same view, for comparison. (C) Representative snapshot of sucrose molecules interacting with a 3-fold protrusion tip. (D) PIC ranking of the four Batch 2 formulations compared with their measured kD ranking, and PIC by pH across the Batch 1 factorial. </w:t>
      </w:r>
      <w:r>
        <w:rPr>
          <w:b/>
          <w:bCs/>
          <w:color w:val="C00000"/>
          <w:sz w:val="24"/>
          <w:szCs w:val="24"/>
        </w:rPr>
        <w:t xml:space="preserve"> [NEEDS INPUT: Insert PIC values, define error measures, and state the rank statistic.] </w:t>
      </w:r>
    </w:p>
    <w:p>
      <w:pPr>
        <w:keepNext/>
        <w:spacing w:after="60" w:before="200"/>
      </w:pPr>
      <w:r>
        <w:rPr>
          <w:b/>
          <w:bCs/>
          <w:sz w:val="24"/>
          <w:szCs w:val="24"/>
        </w:rPr>
        <w:t xml:space="preserve">Figure 8. </w:t>
      </w:r>
      <w:r>
        <w:rPr>
          <w:b/>
          <w:bCs/>
          <w:sz w:val="24"/>
          <w:szCs w:val="24"/>
        </w:rPr>
        <w:t xml:space="preserve">Sucrose hydrogen bonds to the 3-fold protrusion tips.</w:t>
      </w:r>
    </w:p>
    <w:p>
      <w:pPr>
        <w:spacing w:after="120" w:line="360"/>
      </w:pPr>
      <w:r>
        <w:rPr>
          <w:sz w:val="24"/>
          <w:szCs w:val="24"/>
        </w:rPr>
        <w:t xml:space="preserve">Hydrogen bonds defined by a donor–acceptor distance ≤3.5 Å and bond angle ≥150°. (A) Relative hydrogen bond count mapped onto the AAV1 capsid surface. (B) Relative spatial aggregation propensity for the same view. (C) Radial distribution of sucrose relative to 3-fold protrusion tip residues, showing a strong presence at the expected hydrogen-bonding distance. </w:t>
      </w:r>
      <w:r>
        <w:rPr>
          <w:b/>
          <w:bCs/>
          <w:color w:val="C00000"/>
          <w:sz w:val="24"/>
          <w:szCs w:val="24"/>
        </w:rPr>
        <w:t xml:space="preserve"> [NEEDS INPUT: State the trajectory averaging window and whether counts are time-averaged occupancies.] </w:t>
      </w:r>
    </w:p>
    <w:p>
      <w:r>
        <w:br w:type="page"/>
      </w:r>
    </w:p>
    <w:p>
      <w:pPr>
        <w:keepNext/>
        <w:spacing w:after="180" w:before="360"/>
      </w:pPr>
      <w:r>
        <w:rPr>
          <w:b/>
          <w:bCs/>
          <w:sz w:val="24"/>
          <w:szCs w:val="24"/>
        </w:rPr>
        <w:t xml:space="preserve">TABLES</w:t>
      </w:r>
    </w:p>
    <w:p>
      <w:pPr>
        <w:spacing w:after="120" w:before="120" w:line="300"/>
      </w:pPr>
      <w:r>
        <w:rPr>
          <w:i/>
          <w:iCs/>
          <w:color w:val="595959"/>
          <w:sz w:val="20"/>
          <w:szCs w:val="20"/>
        </w:rPr>
        <w:t xml:space="preserve">Tables are placed at the end of the manuscript with the caption above each table, per Molecular Therapy. Note the divergence between journals: Molecular Therapy requires tables built with the Word table function, in black and white, and does not accept Excel; Gene Therapy requires tables as editable Excel files uploaded separately. Footnotes use superscript lowercase letters beginning with 'a', not numbers or symbols.</w:t>
      </w:r>
    </w:p>
    <w:p>
      <w:pPr>
        <w:keepNext/>
        <w:spacing w:after="120" w:before="240"/>
      </w:pPr>
      <w:r>
        <w:rPr>
          <w:b/>
          <w:bCs/>
          <w:sz w:val="24"/>
          <w:szCs w:val="24"/>
        </w:rPr>
        <w:t xml:space="preserve">Table 1. </w:t>
      </w:r>
      <w:r>
        <w:rPr>
          <w:b/>
          <w:bCs/>
          <w:sz w:val="24"/>
          <w:szCs w:val="24"/>
        </w:rPr>
        <w:t xml:space="preserve">Comparison of AAV and mAb biophysical properties relevant to kD measurement.</w:t>
      </w:r>
    </w:p>
    <w:tbl>
      <w:tblPr>
        <w:tblW w:type="dxa" w:w="9360"/>
        <w:tblBorders>
          <w:top w:val="single" w:color="000000" w:sz="6"/>
          <w:left w:val="single" w:color="000000" w:sz="6"/>
          <w:bottom w:val="single" w:color="000000" w:sz="6"/>
          <w:right w:val="single" w:color="000000" w:sz="6"/>
          <w:insideH w:val="single" w:color="999999" w:sz="4"/>
          <w:insideV w:val="single" w:color="999999" w:sz="4"/>
        </w:tblBorders>
      </w:tblPr>
      <w:tblGrid>
        <w:gridCol w:w="3120"/>
        <w:gridCol w:w="3120"/>
        <w:gridCol w:w="3120"/>
      </w:tblGrid>
      <w:tr>
        <w:trPr>
          <w:tblHeader/>
        </w:trPr>
        <w:tc>
          <w:tcPr>
            <w:tcW w:type="dxa" w:w="3120"/>
            <w:shd w:fill="EEEEEE" w:val="clear"/>
            <w:tcMar>
              <w:top w:type="dxa" w:w="80"/>
              <w:left w:type="dxa" w:w="120"/>
              <w:bottom w:type="dxa" w:w="80"/>
              <w:right w:type="dxa" w:w="120"/>
            </w:tcMar>
          </w:tcPr>
          <w:p>
            <w:pPr>
              <w:spacing w:line="260"/>
            </w:pPr>
            <w:r>
              <w:rPr>
                <w:b/>
                <w:bCs/>
                <w:sz w:val="22"/>
                <w:szCs w:val="22"/>
              </w:rPr>
              <w:t xml:space="preserve">Parameter</w:t>
            </w:r>
          </w:p>
        </w:tc>
        <w:tc>
          <w:tcPr>
            <w:tcW w:type="dxa" w:w="3120"/>
            <w:shd w:fill="EEEEEE" w:val="clear"/>
            <w:tcMar>
              <w:top w:type="dxa" w:w="80"/>
              <w:left w:type="dxa" w:w="120"/>
              <w:bottom w:type="dxa" w:w="80"/>
              <w:right w:type="dxa" w:w="120"/>
            </w:tcMar>
          </w:tcPr>
          <w:p>
            <w:pPr>
              <w:spacing w:line="260"/>
            </w:pPr>
            <w:r>
              <w:rPr>
                <w:b/>
                <w:bCs/>
                <w:sz w:val="22"/>
                <w:szCs w:val="22"/>
              </w:rPr>
              <w:t xml:space="preserve">AAV</w:t>
            </w:r>
          </w:p>
        </w:tc>
        <w:tc>
          <w:tcPr>
            <w:tcW w:type="dxa" w:w="3120"/>
            <w:shd w:fill="EEEEEE" w:val="clear"/>
            <w:tcMar>
              <w:top w:type="dxa" w:w="80"/>
              <w:left w:type="dxa" w:w="120"/>
              <w:bottom w:type="dxa" w:w="80"/>
              <w:right w:type="dxa" w:w="120"/>
            </w:tcMar>
          </w:tcPr>
          <w:p>
            <w:pPr>
              <w:spacing w:line="260"/>
            </w:pPr>
            <w:r>
              <w:rPr>
                <w:b/>
                <w:bCs/>
                <w:sz w:val="22"/>
                <w:szCs w:val="22"/>
              </w:rPr>
              <w:t xml:space="preserve">mAb</w:t>
            </w:r>
          </w:p>
        </w:tc>
      </w:tr>
      <w:tr>
        <w:tc>
          <w:tcPr>
            <w:tcW w:type="dxa" w:w="3120"/>
            <w:tcMar>
              <w:top w:type="dxa" w:w="80"/>
              <w:left w:type="dxa" w:w="120"/>
              <w:bottom w:type="dxa" w:w="80"/>
              <w:right w:type="dxa" w:w="120"/>
            </w:tcMar>
          </w:tcPr>
          <w:p>
            <w:pPr>
              <w:spacing w:line="260"/>
            </w:pPr>
            <w:r>
              <w:rPr>
                <w:b w:val="false"/>
                <w:bCs w:val="false"/>
                <w:sz w:val="22"/>
                <w:szCs w:val="22"/>
              </w:rPr>
              <w:t xml:space="preserve">Molecular weight</w:t>
            </w:r>
          </w:p>
        </w:tc>
        <w:tc>
          <w:tcPr>
            <w:tcW w:type="dxa" w:w="3120"/>
            <w:tcMar>
              <w:top w:type="dxa" w:w="80"/>
              <w:left w:type="dxa" w:w="120"/>
              <w:bottom w:type="dxa" w:w="80"/>
              <w:right w:type="dxa" w:w="120"/>
            </w:tcMar>
          </w:tcPr>
          <w:p>
            <w:pPr>
              <w:spacing w:line="260"/>
            </w:pPr>
            <w:r>
              <w:rPr>
                <w:b w:val="false"/>
                <w:bCs w:val="false"/>
                <w:sz w:val="22"/>
                <w:szCs w:val="22"/>
              </w:rPr>
              <w:t xml:space="preserve">3.5–5.5 MDa</w:t>
            </w:r>
          </w:p>
        </w:tc>
        <w:tc>
          <w:tcPr>
            <w:tcW w:type="dxa" w:w="3120"/>
            <w:tcMar>
              <w:top w:type="dxa" w:w="80"/>
              <w:left w:type="dxa" w:w="120"/>
              <w:bottom w:type="dxa" w:w="80"/>
              <w:right w:type="dxa" w:w="120"/>
            </w:tcMar>
          </w:tcPr>
          <w:p>
            <w:pPr>
              <w:spacing w:line="260"/>
            </w:pPr>
            <w:r>
              <w:rPr>
                <w:b w:val="false"/>
                <w:bCs w:val="false"/>
                <w:sz w:val="22"/>
                <w:szCs w:val="22"/>
              </w:rPr>
              <w:t xml:space="preserve">140–160 kDa</w:t>
            </w:r>
          </w:p>
        </w:tc>
      </w:tr>
      <w:tr>
        <w:tc>
          <w:tcPr>
            <w:tcW w:type="dxa" w:w="3120"/>
            <w:tcMar>
              <w:top w:type="dxa" w:w="80"/>
              <w:left w:type="dxa" w:w="120"/>
              <w:bottom w:type="dxa" w:w="80"/>
              <w:right w:type="dxa" w:w="120"/>
            </w:tcMar>
          </w:tcPr>
          <w:p>
            <w:pPr>
              <w:spacing w:line="260"/>
            </w:pPr>
            <w:r>
              <w:rPr>
                <w:b w:val="false"/>
                <w:bCs w:val="false"/>
                <w:sz w:val="22"/>
                <w:szCs w:val="22"/>
              </w:rPr>
              <w:t xml:space="preserve">Hydrodynamic diameter</w:t>
            </w:r>
          </w:p>
        </w:tc>
        <w:tc>
          <w:tcPr>
            <w:tcW w:type="dxa" w:w="3120"/>
            <w:tcMar>
              <w:top w:type="dxa" w:w="80"/>
              <w:left w:type="dxa" w:w="120"/>
              <w:bottom w:type="dxa" w:w="80"/>
              <w:right w:type="dxa" w:w="120"/>
            </w:tcMar>
          </w:tcPr>
          <w:p>
            <w:pPr>
              <w:spacing w:line="260"/>
            </w:pPr>
            <w:r>
              <w:rPr>
                <w:b w:val="false"/>
                <w:bCs w:val="false"/>
                <w:sz w:val="22"/>
                <w:szCs w:val="22"/>
              </w:rPr>
              <w:t xml:space="preserve">22–28 nm</w:t>
            </w:r>
          </w:p>
        </w:tc>
        <w:tc>
          <w:tcPr>
            <w:tcW w:type="dxa" w:w="3120"/>
            <w:tcMar>
              <w:top w:type="dxa" w:w="80"/>
              <w:left w:type="dxa" w:w="120"/>
              <w:bottom w:type="dxa" w:w="80"/>
              <w:right w:type="dxa" w:w="120"/>
            </w:tcMar>
          </w:tcPr>
          <w:p>
            <w:pPr>
              <w:spacing w:line="260"/>
            </w:pPr>
            <w:r>
              <w:rPr>
                <w:b w:val="false"/>
                <w:bCs w:val="false"/>
                <w:sz w:val="22"/>
                <w:szCs w:val="22"/>
              </w:rPr>
              <w:t xml:space="preserve">8–12 nm</w:t>
            </w:r>
          </w:p>
        </w:tc>
      </w:tr>
      <w:tr>
        <w:tc>
          <w:tcPr>
            <w:tcW w:type="dxa" w:w="3120"/>
            <w:tcMar>
              <w:top w:type="dxa" w:w="80"/>
              <w:left w:type="dxa" w:w="120"/>
              <w:bottom w:type="dxa" w:w="80"/>
              <w:right w:type="dxa" w:w="120"/>
            </w:tcMar>
          </w:tcPr>
          <w:p>
            <w:pPr>
              <w:spacing w:line="260"/>
            </w:pPr>
            <w:r>
              <w:rPr>
                <w:b w:val="false"/>
                <w:bCs w:val="false"/>
                <w:sz w:val="22"/>
                <w:szCs w:val="22"/>
              </w:rPr>
              <w:t xml:space="preserve">Stable concentration / titer</w:t>
            </w:r>
          </w:p>
        </w:tc>
        <w:tc>
          <w:tcPr>
            <w:tcW w:type="dxa" w:w="3120"/>
            <w:tcMar>
              <w:top w:type="dxa" w:w="80"/>
              <w:left w:type="dxa" w:w="120"/>
              <w:bottom w:type="dxa" w:w="80"/>
              <w:right w:type="dxa" w:w="120"/>
            </w:tcMar>
          </w:tcPr>
          <w:p>
            <w:pPr>
              <w:spacing w:line="260"/>
            </w:pPr>
            <w:r>
              <w:rPr>
                <w:b w:val="false"/>
                <w:bCs w:val="false"/>
                <w:sz w:val="22"/>
                <w:szCs w:val="22"/>
              </w:rPr>
              <w:t xml:space="preserve">Up to 1 × 10¹³–1 × 10¹⁴ vg/mL (approx. 1–10 mg/mL)</w:t>
            </w:r>
          </w:p>
        </w:tc>
        <w:tc>
          <w:tcPr>
            <w:tcW w:type="dxa" w:w="3120"/>
            <w:tcMar>
              <w:top w:type="dxa" w:w="80"/>
              <w:left w:type="dxa" w:w="120"/>
              <w:bottom w:type="dxa" w:w="80"/>
              <w:right w:type="dxa" w:w="120"/>
            </w:tcMar>
          </w:tcPr>
          <w:p>
            <w:pPr>
              <w:spacing w:line="260"/>
            </w:pPr>
            <w:r>
              <w:rPr>
                <w:b w:val="false"/>
                <w:bCs w:val="false"/>
                <w:sz w:val="22"/>
                <w:szCs w:val="22"/>
              </w:rPr>
              <w:t xml:space="preserve">Up to 100–200 mg/mL</w:t>
            </w:r>
          </w:p>
        </w:tc>
      </w:tr>
    </w:tbl>
    <w:p>
      <w:pPr>
        <w:spacing w:after="200" w:before="80" w:line="260"/>
      </w:pPr>
      <w:r>
        <w:rPr>
          <w:color w:val="C00000"/>
          <w:sz w:val="20"/>
          <w:szCs w:val="20"/>
        </w:rPr>
        <w:t xml:space="preserve">Values represent typical ranges. [PLACEHOLDER: cite sources for these ranges; both target journals require that tabulated values be traceable.]</w:t>
      </w:r>
    </w:p>
    <w:p>
      <w:pPr>
        <w:keepNext/>
        <w:spacing w:after="120" w:before="240"/>
      </w:pPr>
      <w:r>
        <w:rPr>
          <w:b/>
          <w:bCs/>
          <w:sz w:val="24"/>
          <w:szCs w:val="24"/>
        </w:rPr>
        <w:t xml:space="preserve">Table 2. </w:t>
      </w:r>
      <w:r>
        <w:rPr>
          <w:b/>
          <w:bCs/>
          <w:sz w:val="24"/>
          <w:szCs w:val="24"/>
        </w:rPr>
        <w:t xml:space="preserve">Instrument comparison for AAV kD measurement.</w:t>
      </w:r>
    </w:p>
    <w:tbl>
      <w:tblPr>
        <w:tblW w:type="dxa" w:w="9360"/>
        <w:tblBorders>
          <w:top w:val="single" w:color="000000" w:sz="6"/>
          <w:left w:val="single" w:color="000000" w:sz="6"/>
          <w:bottom w:val="single" w:color="000000" w:sz="6"/>
          <w:right w:val="single" w:color="000000" w:sz="6"/>
          <w:insideH w:val="single" w:color="999999" w:sz="4"/>
          <w:insideV w:val="single" w:color="999999" w:sz="4"/>
        </w:tblBorders>
      </w:tblPr>
      <w:tblGrid>
        <w:gridCol w:w="3120"/>
        <w:gridCol w:w="3120"/>
        <w:gridCol w:w="3120"/>
      </w:tblGrid>
      <w:tr>
        <w:trPr>
          <w:tblHeader/>
        </w:trPr>
        <w:tc>
          <w:tcPr>
            <w:tcW w:type="dxa" w:w="3120"/>
            <w:shd w:fill="EEEEEE" w:val="clear"/>
            <w:tcMar>
              <w:top w:type="dxa" w:w="80"/>
              <w:left w:type="dxa" w:w="120"/>
              <w:bottom w:type="dxa" w:w="80"/>
              <w:right w:type="dxa" w:w="120"/>
            </w:tcMar>
          </w:tcPr>
          <w:p>
            <w:pPr>
              <w:spacing w:line="260"/>
            </w:pPr>
            <w:r>
              <w:rPr>
                <w:b/>
                <w:bCs/>
                <w:sz w:val="22"/>
                <w:szCs w:val="22"/>
              </w:rPr>
              <w:t xml:space="preserve">Instrument</w:t>
            </w:r>
          </w:p>
        </w:tc>
        <w:tc>
          <w:tcPr>
            <w:tcW w:type="dxa" w:w="3120"/>
            <w:shd w:fill="EEEEEE" w:val="clear"/>
            <w:tcMar>
              <w:top w:type="dxa" w:w="80"/>
              <w:left w:type="dxa" w:w="120"/>
              <w:bottom w:type="dxa" w:w="80"/>
              <w:right w:type="dxa" w:w="120"/>
            </w:tcMar>
          </w:tcPr>
          <w:p>
            <w:pPr>
              <w:spacing w:line="260"/>
            </w:pPr>
            <w:r>
              <w:rPr>
                <w:b/>
                <w:bCs/>
                <w:sz w:val="22"/>
                <w:szCs w:val="22"/>
              </w:rPr>
              <w:t xml:space="preserve">Advantages</w:t>
            </w:r>
          </w:p>
        </w:tc>
        <w:tc>
          <w:tcPr>
            <w:tcW w:type="dxa" w:w="3120"/>
            <w:shd w:fill="EEEEEE" w:val="clear"/>
            <w:tcMar>
              <w:top w:type="dxa" w:w="80"/>
              <w:left w:type="dxa" w:w="120"/>
              <w:bottom w:type="dxa" w:w="80"/>
              <w:right w:type="dxa" w:w="120"/>
            </w:tcMar>
          </w:tcPr>
          <w:p>
            <w:pPr>
              <w:spacing w:line="260"/>
            </w:pPr>
            <w:r>
              <w:rPr>
                <w:b/>
                <w:bCs/>
                <w:sz w:val="22"/>
                <w:szCs w:val="22"/>
              </w:rPr>
              <w:t xml:space="preserve">Limitations</w:t>
            </w:r>
          </w:p>
        </w:tc>
      </w:tr>
      <w:tr>
        <w:tc>
          <w:tcPr>
            <w:tcW w:type="dxa" w:w="3120"/>
            <w:tcMar>
              <w:top w:type="dxa" w:w="80"/>
              <w:left w:type="dxa" w:w="120"/>
              <w:bottom w:type="dxa" w:w="80"/>
              <w:right w:type="dxa" w:w="120"/>
            </w:tcMar>
          </w:tcPr>
          <w:p>
            <w:pPr>
              <w:spacing w:line="260"/>
            </w:pPr>
            <w:r>
              <w:rPr>
                <w:b w:val="false"/>
                <w:bCs w:val="false"/>
                <w:sz w:val="22"/>
                <w:szCs w:val="22"/>
              </w:rPr>
              <w:t xml:space="preserve">Unchained Labs Stunner</w:t>
            </w:r>
          </w:p>
        </w:tc>
        <w:tc>
          <w:tcPr>
            <w:tcW w:type="dxa" w:w="3120"/>
            <w:tcMar>
              <w:top w:type="dxa" w:w="80"/>
              <w:left w:type="dxa" w:w="120"/>
              <w:bottom w:type="dxa" w:w="80"/>
              <w:right w:type="dxa" w:w="120"/>
            </w:tcMar>
          </w:tcPr>
          <w:p>
            <w:pPr>
              <w:spacing w:line="260"/>
            </w:pPr>
            <w:r>
              <w:rPr>
                <w:b w:val="false"/>
                <w:bCs w:val="false"/>
                <w:sz w:val="22"/>
                <w:szCs w:val="22"/>
              </w:rPr>
              <w:t xml:space="preserve">Low material requirement (2 µL); 96-well throughput</w:t>
            </w:r>
          </w:p>
        </w:tc>
        <w:tc>
          <w:tcPr>
            <w:tcW w:type="dxa" w:w="3120"/>
            <w:tcMar>
              <w:top w:type="dxa" w:w="80"/>
              <w:left w:type="dxa" w:w="120"/>
              <w:bottom w:type="dxa" w:w="80"/>
              <w:right w:type="dxa" w:w="120"/>
            </w:tcMar>
          </w:tcPr>
          <w:p>
            <w:pPr>
              <w:spacing w:line="260"/>
            </w:pPr>
            <w:r>
              <w:rPr>
                <w:b w:val="false"/>
                <w:bCs w:val="false"/>
                <w:sz w:val="22"/>
                <w:szCs w:val="22"/>
              </w:rPr>
              <w:t xml:space="preserve">Strong spatial bias and variance; insufficient slope signal</w:t>
            </w:r>
          </w:p>
        </w:tc>
      </w:tr>
      <w:tr>
        <w:tc>
          <w:tcPr>
            <w:tcW w:type="dxa" w:w="3120"/>
            <w:tcMar>
              <w:top w:type="dxa" w:w="80"/>
              <w:left w:type="dxa" w:w="120"/>
              <w:bottom w:type="dxa" w:w="80"/>
              <w:right w:type="dxa" w:w="120"/>
            </w:tcMar>
          </w:tcPr>
          <w:p>
            <w:pPr>
              <w:spacing w:line="260"/>
            </w:pPr>
            <w:r>
              <w:rPr>
                <w:b w:val="false"/>
                <w:bCs w:val="false"/>
                <w:sz w:val="22"/>
                <w:szCs w:val="22"/>
              </w:rPr>
              <w:t xml:space="preserve">Unchained Labs Uncle</w:t>
            </w:r>
          </w:p>
        </w:tc>
        <w:tc>
          <w:tcPr>
            <w:tcW w:type="dxa" w:w="3120"/>
            <w:tcMar>
              <w:top w:type="dxa" w:w="80"/>
              <w:left w:type="dxa" w:w="120"/>
              <w:bottom w:type="dxa" w:w="80"/>
              <w:right w:type="dxa" w:w="120"/>
            </w:tcMar>
          </w:tcPr>
          <w:p>
            <w:pPr>
              <w:spacing w:line="260"/>
            </w:pPr>
            <w:r>
              <w:rPr>
                <w:b w:val="false"/>
                <w:bCs w:val="false"/>
                <w:sz w:val="22"/>
                <w:szCs w:val="22"/>
              </w:rPr>
              <w:t xml:space="preserve">Low material requirement (9 µL); lower spatial bias</w:t>
            </w:r>
          </w:p>
        </w:tc>
        <w:tc>
          <w:tcPr>
            <w:tcW w:type="dxa" w:w="3120"/>
            <w:tcMar>
              <w:top w:type="dxa" w:w="80"/>
              <w:left w:type="dxa" w:w="120"/>
              <w:bottom w:type="dxa" w:w="80"/>
              <w:right w:type="dxa" w:w="120"/>
            </w:tcMar>
          </w:tcPr>
          <w:p>
            <w:pPr>
              <w:spacing w:line="260"/>
            </w:pPr>
            <w:r>
              <w:rPr>
                <w:b w:val="false"/>
                <w:bCs w:val="false"/>
                <w:sz w:val="22"/>
                <w:szCs w:val="22"/>
              </w:rPr>
              <w:t xml:space="preserve">Insufficient baseline signal</w:t>
            </w:r>
          </w:p>
        </w:tc>
      </w:tr>
      <w:tr>
        <w:tc>
          <w:tcPr>
            <w:tcW w:type="dxa" w:w="3120"/>
            <w:tcMar>
              <w:top w:type="dxa" w:w="80"/>
              <w:left w:type="dxa" w:w="120"/>
              <w:bottom w:type="dxa" w:w="80"/>
              <w:right w:type="dxa" w:w="120"/>
            </w:tcMar>
          </w:tcPr>
          <w:p>
            <w:pPr>
              <w:spacing w:line="260"/>
            </w:pPr>
            <w:r>
              <w:rPr>
                <w:b w:val="false"/>
                <w:bCs w:val="false"/>
                <w:sz w:val="22"/>
                <w:szCs w:val="22"/>
              </w:rPr>
              <w:t xml:space="preserve">Wyatt DynaPro PR3</w:t>
            </w:r>
          </w:p>
        </w:tc>
        <w:tc>
          <w:tcPr>
            <w:tcW w:type="dxa" w:w="3120"/>
            <w:tcMar>
              <w:top w:type="dxa" w:w="80"/>
              <w:left w:type="dxa" w:w="120"/>
              <w:bottom w:type="dxa" w:w="80"/>
              <w:right w:type="dxa" w:w="120"/>
            </w:tcMar>
          </w:tcPr>
          <w:p>
            <w:pPr>
              <w:spacing w:line="260"/>
            </w:pPr>
            <w:r>
              <w:rPr>
                <w:b w:val="false"/>
                <w:bCs w:val="false"/>
                <w:sz w:val="22"/>
                <w:szCs w:val="22"/>
              </w:rPr>
              <w:t xml:space="preserve">Successful kD measurement; 384-well throughput</w:t>
            </w:r>
          </w:p>
        </w:tc>
        <w:tc>
          <w:tcPr>
            <w:tcW w:type="dxa" w:w="3120"/>
            <w:tcMar>
              <w:top w:type="dxa" w:w="80"/>
              <w:left w:type="dxa" w:w="120"/>
              <w:bottom w:type="dxa" w:w="80"/>
              <w:right w:type="dxa" w:w="120"/>
            </w:tcMar>
          </w:tcPr>
          <w:p>
            <w:pPr>
              <w:spacing w:line="260"/>
            </w:pPr>
            <w:r>
              <w:rPr>
                <w:b w:val="false"/>
                <w:bCs w:val="false"/>
                <w:sz w:val="22"/>
                <w:szCs w:val="22"/>
              </w:rPr>
              <w:t xml:space="preserve">Higher material requirement (50 µL)</w:t>
            </w:r>
          </w:p>
        </w:tc>
      </w:tr>
    </w:tbl>
    <w:p>
      <w:pPr>
        <w:spacing w:after="200" w:before="80" w:line="260"/>
      </w:pPr>
      <w:r>
        <w:rPr>
          <w:color w:val="C00000"/>
          <w:sz w:val="20"/>
          <w:szCs w:val="20"/>
        </w:rPr>
        <w:t xml:space="preserve">[PLACEHOLDER: add manufacturer city and state/country at first mention, as required by both journals.]</w:t>
      </w:r>
    </w:p>
    <w:p>
      <w:pPr>
        <w:keepNext/>
        <w:spacing w:after="120" w:before="240"/>
      </w:pPr>
      <w:r>
        <w:rPr>
          <w:b/>
          <w:bCs/>
          <w:sz w:val="24"/>
          <w:szCs w:val="24"/>
        </w:rPr>
        <w:t xml:space="preserve">Table 3. </w:t>
      </w:r>
      <w:r>
        <w:rPr>
          <w:b/>
          <w:bCs/>
          <w:sz w:val="24"/>
          <w:szCs w:val="24"/>
        </w:rPr>
        <w:t xml:space="preserve">AAV1 formulations selected for kD comparison against high-throughput stability outcomes.</w:t>
      </w:r>
    </w:p>
    <w:tbl>
      <w:tblPr>
        <w:tblW w:type="dxa" w:w="9360"/>
        <w:tblBorders>
          <w:top w:val="single" w:color="000000" w:sz="6"/>
          <w:left w:val="single" w:color="000000" w:sz="6"/>
          <w:bottom w:val="single" w:color="000000" w:sz="6"/>
          <w:right w:val="single" w:color="000000" w:sz="6"/>
          <w:insideH w:val="single" w:color="999999" w:sz="4"/>
          <w:insideV w:val="single" w:color="999999" w:sz="4"/>
        </w:tblBorders>
      </w:tblPr>
      <w:tblGrid>
        <w:gridCol w:w="2340"/>
        <w:gridCol w:w="2340"/>
        <w:gridCol w:w="2340"/>
        <w:gridCol w:w="2340"/>
      </w:tblGrid>
      <w:tr>
        <w:trPr>
          <w:tblHeader/>
        </w:trPr>
        <w:tc>
          <w:tcPr>
            <w:tcW w:type="dxa" w:w="2340"/>
            <w:shd w:fill="EEEEEE" w:val="clear"/>
            <w:tcMar>
              <w:top w:type="dxa" w:w="80"/>
              <w:left w:type="dxa" w:w="120"/>
              <w:bottom w:type="dxa" w:w="80"/>
              <w:right w:type="dxa" w:w="120"/>
            </w:tcMar>
          </w:tcPr>
          <w:p>
            <w:pPr>
              <w:spacing w:line="260"/>
            </w:pPr>
            <w:r>
              <w:rPr>
                <w:b/>
                <w:bCs/>
                <w:sz w:val="22"/>
                <w:szCs w:val="22"/>
              </w:rPr>
              <w:t xml:space="preserve">Formulation</w:t>
            </w:r>
          </w:p>
        </w:tc>
        <w:tc>
          <w:tcPr>
            <w:tcW w:type="dxa" w:w="2340"/>
            <w:shd w:fill="EEEEEE" w:val="clear"/>
            <w:tcMar>
              <w:top w:type="dxa" w:w="80"/>
              <w:left w:type="dxa" w:w="120"/>
              <w:bottom w:type="dxa" w:w="80"/>
              <w:right w:type="dxa" w:w="120"/>
            </w:tcMar>
          </w:tcPr>
          <w:p>
            <w:pPr>
              <w:spacing w:line="260"/>
            </w:pPr>
            <w:r>
              <w:rPr>
                <w:b/>
                <w:bCs/>
                <w:sz w:val="22"/>
                <w:szCs w:val="22"/>
              </w:rPr>
              <w:t xml:space="preserve">NaCl</w:t>
            </w:r>
          </w:p>
        </w:tc>
        <w:tc>
          <w:tcPr>
            <w:tcW w:type="dxa" w:w="2340"/>
            <w:shd w:fill="EEEEEE" w:val="clear"/>
            <w:tcMar>
              <w:top w:type="dxa" w:w="80"/>
              <w:left w:type="dxa" w:w="120"/>
              <w:bottom w:type="dxa" w:w="80"/>
              <w:right w:type="dxa" w:w="120"/>
            </w:tcMar>
          </w:tcPr>
          <w:p>
            <w:pPr>
              <w:spacing w:line="260"/>
            </w:pPr>
            <w:r>
              <w:rPr>
                <w:b/>
                <w:bCs/>
                <w:sz w:val="22"/>
                <w:szCs w:val="22"/>
              </w:rPr>
              <w:t xml:space="preserve">Sucrose</w:t>
            </w:r>
          </w:p>
        </w:tc>
        <w:tc>
          <w:tcPr>
            <w:tcW w:type="dxa" w:w="2340"/>
            <w:shd w:fill="EEEEEE" w:val="clear"/>
            <w:tcMar>
              <w:top w:type="dxa" w:w="80"/>
              <w:left w:type="dxa" w:w="120"/>
              <w:bottom w:type="dxa" w:w="80"/>
              <w:right w:type="dxa" w:w="120"/>
            </w:tcMar>
          </w:tcPr>
          <w:p>
            <w:pPr>
              <w:spacing w:line="260"/>
            </w:pPr>
            <w:r>
              <w:rPr>
                <w:b/>
                <w:bCs/>
                <w:sz w:val="22"/>
                <w:szCs w:val="22"/>
              </w:rPr>
              <w:t xml:space="preserve">pH</w:t>
            </w:r>
          </w:p>
        </w:tc>
      </w:tr>
      <w:tr>
        <w:tc>
          <w:tcPr>
            <w:tcW w:type="dxa" w:w="2340"/>
            <w:tcMar>
              <w:top w:type="dxa" w:w="80"/>
              <w:left w:type="dxa" w:w="120"/>
              <w:bottom w:type="dxa" w:w="80"/>
              <w:right w:type="dxa" w:w="120"/>
            </w:tcMar>
          </w:tcPr>
          <w:p>
            <w:pPr>
              <w:spacing w:line="260"/>
            </w:pPr>
            <w:r>
              <w:rPr>
                <w:b w:val="false"/>
                <w:bCs w:val="false"/>
                <w:sz w:val="22"/>
                <w:szCs w:val="22"/>
              </w:rPr>
              <w:t xml:space="preserve">A</w:t>
            </w:r>
          </w:p>
        </w:tc>
        <w:tc>
          <w:tcPr>
            <w:tcW w:type="dxa" w:w="2340"/>
            <w:tcMar>
              <w:top w:type="dxa" w:w="80"/>
              <w:left w:type="dxa" w:w="120"/>
              <w:bottom w:type="dxa" w:w="80"/>
              <w:right w:type="dxa" w:w="120"/>
            </w:tcMar>
          </w:tcPr>
          <w:p>
            <w:pPr>
              <w:spacing w:line="260"/>
            </w:pPr>
            <w:r>
              <w:rPr>
                <w:b w:val="false"/>
                <w:bCs w:val="false"/>
                <w:sz w:val="22"/>
                <w:szCs w:val="22"/>
              </w:rPr>
              <w:t xml:space="preserve">110 mM</w:t>
            </w:r>
          </w:p>
        </w:tc>
        <w:tc>
          <w:tcPr>
            <w:tcW w:type="dxa" w:w="2340"/>
            <w:tcMar>
              <w:top w:type="dxa" w:w="80"/>
              <w:left w:type="dxa" w:w="120"/>
              <w:bottom w:type="dxa" w:w="80"/>
              <w:right w:type="dxa" w:w="120"/>
            </w:tcMar>
          </w:tcPr>
          <w:p>
            <w:pPr>
              <w:spacing w:line="260"/>
            </w:pPr>
            <w:r>
              <w:rPr>
                <w:b w:val="false"/>
                <w:bCs w:val="false"/>
                <w:sz w:val="22"/>
                <w:szCs w:val="22"/>
              </w:rPr>
              <w:t xml:space="preserve">8%</w:t>
            </w:r>
          </w:p>
        </w:tc>
        <w:tc>
          <w:tcPr>
            <w:tcW w:type="dxa" w:w="2340"/>
            <w:tcMar>
              <w:top w:type="dxa" w:w="80"/>
              <w:left w:type="dxa" w:w="120"/>
              <w:bottom w:type="dxa" w:w="80"/>
              <w:right w:type="dxa" w:w="120"/>
            </w:tcMar>
          </w:tcPr>
          <w:p>
            <w:pPr>
              <w:spacing w:line="260"/>
            </w:pPr>
            <w:r>
              <w:rPr>
                <w:b w:val="false"/>
                <w:bCs w:val="false"/>
                <w:sz w:val="22"/>
                <w:szCs w:val="22"/>
              </w:rPr>
              <w:t xml:space="preserve">6.0</w:t>
            </w:r>
          </w:p>
        </w:tc>
      </w:tr>
      <w:tr>
        <w:tc>
          <w:tcPr>
            <w:tcW w:type="dxa" w:w="2340"/>
            <w:tcMar>
              <w:top w:type="dxa" w:w="80"/>
              <w:left w:type="dxa" w:w="120"/>
              <w:bottom w:type="dxa" w:w="80"/>
              <w:right w:type="dxa" w:w="120"/>
            </w:tcMar>
          </w:tcPr>
          <w:p>
            <w:pPr>
              <w:spacing w:line="260"/>
            </w:pPr>
            <w:r>
              <w:rPr>
                <w:b w:val="false"/>
                <w:bCs w:val="false"/>
                <w:sz w:val="22"/>
                <w:szCs w:val="22"/>
              </w:rPr>
              <w:t xml:space="preserve">B</w:t>
            </w:r>
          </w:p>
        </w:tc>
        <w:tc>
          <w:tcPr>
            <w:tcW w:type="dxa" w:w="2340"/>
            <w:tcMar>
              <w:top w:type="dxa" w:w="80"/>
              <w:left w:type="dxa" w:w="120"/>
              <w:bottom w:type="dxa" w:w="80"/>
              <w:right w:type="dxa" w:w="120"/>
            </w:tcMar>
          </w:tcPr>
          <w:p>
            <w:pPr>
              <w:spacing w:line="260"/>
            </w:pPr>
            <w:r>
              <w:rPr>
                <w:b w:val="false"/>
                <w:bCs w:val="false"/>
                <w:sz w:val="22"/>
                <w:szCs w:val="22"/>
              </w:rPr>
              <w:t xml:space="preserve">170 mM</w:t>
            </w:r>
          </w:p>
        </w:tc>
        <w:tc>
          <w:tcPr>
            <w:tcW w:type="dxa" w:w="2340"/>
            <w:tcMar>
              <w:top w:type="dxa" w:w="80"/>
              <w:left w:type="dxa" w:w="120"/>
              <w:bottom w:type="dxa" w:w="80"/>
              <w:right w:type="dxa" w:w="120"/>
            </w:tcMar>
          </w:tcPr>
          <w:p>
            <w:pPr>
              <w:spacing w:line="260"/>
            </w:pPr>
            <w:r>
              <w:rPr>
                <w:b w:val="false"/>
                <w:bCs w:val="false"/>
                <w:sz w:val="22"/>
                <w:szCs w:val="22"/>
              </w:rPr>
              <w:t xml:space="preserve">5%</w:t>
            </w:r>
          </w:p>
        </w:tc>
        <w:tc>
          <w:tcPr>
            <w:tcW w:type="dxa" w:w="2340"/>
            <w:tcMar>
              <w:top w:type="dxa" w:w="80"/>
              <w:left w:type="dxa" w:w="120"/>
              <w:bottom w:type="dxa" w:w="80"/>
              <w:right w:type="dxa" w:w="120"/>
            </w:tcMar>
          </w:tcPr>
          <w:p>
            <w:pPr>
              <w:spacing w:line="260"/>
            </w:pPr>
            <w:r>
              <w:rPr>
                <w:b w:val="false"/>
                <w:bCs w:val="false"/>
                <w:sz w:val="22"/>
                <w:szCs w:val="22"/>
              </w:rPr>
              <w:t xml:space="preserve">7.3</w:t>
            </w:r>
          </w:p>
        </w:tc>
      </w:tr>
      <w:tr>
        <w:tc>
          <w:tcPr>
            <w:tcW w:type="dxa" w:w="2340"/>
            <w:tcMar>
              <w:top w:type="dxa" w:w="80"/>
              <w:left w:type="dxa" w:w="120"/>
              <w:bottom w:type="dxa" w:w="80"/>
              <w:right w:type="dxa" w:w="120"/>
            </w:tcMar>
          </w:tcPr>
          <w:p>
            <w:pPr>
              <w:spacing w:line="260"/>
            </w:pPr>
            <w:r>
              <w:rPr>
                <w:b w:val="false"/>
                <w:bCs w:val="false"/>
                <w:sz w:val="22"/>
                <w:szCs w:val="22"/>
              </w:rPr>
              <w:t xml:space="preserve">C</w:t>
            </w:r>
          </w:p>
        </w:tc>
        <w:tc>
          <w:tcPr>
            <w:tcW w:type="dxa" w:w="2340"/>
            <w:tcMar>
              <w:top w:type="dxa" w:w="80"/>
              <w:left w:type="dxa" w:w="120"/>
              <w:bottom w:type="dxa" w:w="80"/>
              <w:right w:type="dxa" w:w="120"/>
            </w:tcMar>
          </w:tcPr>
          <w:p>
            <w:pPr>
              <w:spacing w:line="260"/>
            </w:pPr>
            <w:r>
              <w:rPr>
                <w:b w:val="false"/>
                <w:bCs w:val="false"/>
                <w:sz w:val="22"/>
                <w:szCs w:val="22"/>
              </w:rPr>
              <w:t xml:space="preserve">30 mM</w:t>
            </w:r>
          </w:p>
        </w:tc>
        <w:tc>
          <w:tcPr>
            <w:tcW w:type="dxa" w:w="2340"/>
            <w:tcMar>
              <w:top w:type="dxa" w:w="80"/>
              <w:left w:type="dxa" w:w="120"/>
              <w:bottom w:type="dxa" w:w="80"/>
              <w:right w:type="dxa" w:w="120"/>
            </w:tcMar>
          </w:tcPr>
          <w:p>
            <w:pPr>
              <w:spacing w:line="260"/>
            </w:pPr>
            <w:r>
              <w:rPr>
                <w:b w:val="false"/>
                <w:bCs w:val="false"/>
                <w:sz w:val="22"/>
                <w:szCs w:val="22"/>
              </w:rPr>
              <w:t xml:space="preserve">12%</w:t>
            </w:r>
          </w:p>
        </w:tc>
        <w:tc>
          <w:tcPr>
            <w:tcW w:type="dxa" w:w="2340"/>
            <w:tcMar>
              <w:top w:type="dxa" w:w="80"/>
              <w:left w:type="dxa" w:w="120"/>
              <w:bottom w:type="dxa" w:w="80"/>
              <w:right w:type="dxa" w:w="120"/>
            </w:tcMar>
          </w:tcPr>
          <w:p>
            <w:pPr>
              <w:spacing w:line="260"/>
            </w:pPr>
            <w:r>
              <w:rPr>
                <w:b w:val="false"/>
                <w:bCs w:val="false"/>
                <w:sz w:val="22"/>
                <w:szCs w:val="22"/>
              </w:rPr>
              <w:t xml:space="preserve">6.0</w:t>
            </w:r>
          </w:p>
        </w:tc>
      </w:tr>
      <w:tr>
        <w:tc>
          <w:tcPr>
            <w:tcW w:type="dxa" w:w="2340"/>
            <w:tcMar>
              <w:top w:type="dxa" w:w="80"/>
              <w:left w:type="dxa" w:w="120"/>
              <w:bottom w:type="dxa" w:w="80"/>
              <w:right w:type="dxa" w:w="120"/>
            </w:tcMar>
          </w:tcPr>
          <w:p>
            <w:pPr>
              <w:spacing w:line="260"/>
            </w:pPr>
            <w:r>
              <w:rPr>
                <w:b w:val="false"/>
                <w:bCs w:val="false"/>
                <w:sz w:val="22"/>
                <w:szCs w:val="22"/>
              </w:rPr>
              <w:t xml:space="preserve">D</w:t>
            </w:r>
          </w:p>
        </w:tc>
        <w:tc>
          <w:tcPr>
            <w:tcW w:type="dxa" w:w="2340"/>
            <w:tcMar>
              <w:top w:type="dxa" w:w="80"/>
              <w:left w:type="dxa" w:w="120"/>
              <w:bottom w:type="dxa" w:w="80"/>
              <w:right w:type="dxa" w:w="120"/>
            </w:tcMar>
          </w:tcPr>
          <w:p>
            <w:pPr>
              <w:spacing w:line="260"/>
            </w:pPr>
            <w:r>
              <w:rPr>
                <w:b w:val="false"/>
                <w:bCs w:val="false"/>
                <w:sz w:val="22"/>
                <w:szCs w:val="22"/>
              </w:rPr>
              <w:t xml:space="preserve">30 mM</w:t>
            </w:r>
          </w:p>
        </w:tc>
        <w:tc>
          <w:tcPr>
            <w:tcW w:type="dxa" w:w="2340"/>
            <w:tcMar>
              <w:top w:type="dxa" w:w="80"/>
              <w:left w:type="dxa" w:w="120"/>
              <w:bottom w:type="dxa" w:w="80"/>
              <w:right w:type="dxa" w:w="120"/>
            </w:tcMar>
          </w:tcPr>
          <w:p>
            <w:pPr>
              <w:spacing w:line="260"/>
            </w:pPr>
            <w:r>
              <w:rPr>
                <w:b w:val="false"/>
                <w:bCs w:val="false"/>
                <w:sz w:val="22"/>
                <w:szCs w:val="22"/>
              </w:rPr>
              <w:t xml:space="preserve">12%</w:t>
            </w:r>
          </w:p>
        </w:tc>
        <w:tc>
          <w:tcPr>
            <w:tcW w:type="dxa" w:w="2340"/>
            <w:tcMar>
              <w:top w:type="dxa" w:w="80"/>
              <w:left w:type="dxa" w:w="120"/>
              <w:bottom w:type="dxa" w:w="80"/>
              <w:right w:type="dxa" w:w="120"/>
            </w:tcMar>
          </w:tcPr>
          <w:p>
            <w:pPr>
              <w:spacing w:line="260"/>
            </w:pPr>
            <w:r>
              <w:rPr>
                <w:b w:val="false"/>
                <w:bCs w:val="false"/>
                <w:sz w:val="22"/>
                <w:szCs w:val="22"/>
              </w:rPr>
              <w:t xml:space="preserve">7.3</w:t>
            </w:r>
          </w:p>
        </w:tc>
      </w:tr>
    </w:tbl>
    <w:p>
      <w:pPr>
        <w:spacing w:after="200" w:before="80" w:line="260"/>
      </w:pPr>
      <w:r>
        <w:rPr>
          <w:color w:val="C00000"/>
          <w:sz w:val="20"/>
          <w:szCs w:val="20"/>
        </w:rPr>
        <w:t xml:space="preserve">All formulations contained 10 mM buffer and 0.005% P188. [PLACEHOLDER: specify the buffer species for each pH condition.]</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ekgk1w0pvp7fkqgrxchc" Type="http://schemas.openxmlformats.org/officeDocument/2006/relationships/hyperlink" Target="https://doi.org/10.1016/j.ymthe.2005.02.021" TargetMode="External"/><Relationship Id="rIdtedbkr8agn_drlrvy47x-" Type="http://schemas.openxmlformats.org/officeDocument/2006/relationships/hyperlink" Target="https://doi.org/10.3390/pharmaceutics18050608" TargetMode="External"/><Relationship Id="rIdqbgsbvusmcdclorggzaqx" Type="http://schemas.openxmlformats.org/officeDocument/2006/relationships/hyperlink" Target="https://doi.org/10.1007/s40828-023-00182-9" TargetMode="External"/><Relationship Id="rIdmbwczmnfku942rzzxo1ff" Type="http://schemas.openxmlformats.org/officeDocument/2006/relationships/hyperlink" Target="https://doi.org/10.1002/jps.22712" TargetMode="External"/><Relationship Id="rIdnmezjhbgfexx66d5ssq-o" Type="http://schemas.openxmlformats.org/officeDocument/2006/relationships/hyperlink" Target="https://doi.org/10.1021/jp911706q" TargetMode="External"/><Relationship Id="rIdjuk7li6ikkif1rf3kx_br" Type="http://schemas.openxmlformats.org/officeDocument/2006/relationships/hyperlink" Target="https://doi.org/10.1021/acs.molpharmaceut.9b00545" TargetMode="External"/><Relationship Id="rIdubugu-hy-jrc3ubrowjlv" Type="http://schemas.openxmlformats.org/officeDocument/2006/relationships/hyperlink" Target="https://doi.org/10.1021/mp5002334" TargetMode="External"/><Relationship Id="rIdklfhzslmiqrlirb7pmmf4" Type="http://schemas.openxmlformats.org/officeDocument/2006/relationships/hyperlink" Target="https://doi.org/10.1016/j.softx.2015.06.001" TargetMode="External"/><Relationship Id="rIdbqi7tnkbo1f_lj0ljcpxq" Type="http://schemas.openxmlformats.org/officeDocument/2006/relationships/hyperlink" Target="https://doi.org/10.1093/nar/gkh381" TargetMode="External"/><Relationship Id="rIdfk7rf9hlu5wtrnd4jawyi" Type="http://schemas.openxmlformats.org/officeDocument/2006/relationships/hyperlink" Target="https://doi.org/10.1128/jvi.02524-12" TargetMode="External"/><Relationship Id="rIdlpkbghmd8aaujcwcoid1m" Type="http://schemas.openxmlformats.org/officeDocument/2006/relationships/hyperlink" Target="https://doi.org/10.1002/pro.3280"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2026-08-07T16:00:04.627Z</dcterms:created>
  <dcterms:modified xsi:type="dcterms:W3CDTF">2026-08-07T16:00:04.627Z</dcterms:modified>
</cp:coreProperties>
</file>

<file path=docProps/custom.xml><?xml version="1.0" encoding="utf-8"?>
<Properties xmlns="http://schemas.openxmlformats.org/officeDocument/2006/custom-properties" xmlns:vt="http://schemas.openxmlformats.org/officeDocument/2006/docPropsVTypes"/>
</file>