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crucial, strict end-of-November deadline. Drove end-to-end ownership: product engineering roadmap, system architecture within a legacy monolith, cross-functional project facilitation, and technical mentorship – conducting architecture reviews of core components, leading design sessions on critical decisions, anticipating and mitigating risks, evaluating scaling concerns, and empowering engineers to build confidence in their own independent technical judgment. Delivered on time in November 2025 – a full 0-to-production effort in under 4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working 80+ hours per week. Designed performant migration scripts spanning 5 repositories – covering 30M+ database record updates across 45+ table/column pairs, file integrity validation, reference integrity, rich text parsing, and consistent upload patterns across 56+ locations. Established best practices for performant large-dataset migrations and monadic patterns for procedural code reliability, reinforced through pairing sessions and code reviews – enabling engineers to execute independently. Successfully migrated 15 million files on time, saving approximately $500,000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with AI effectively, defining what good AI usage looks like today, building context management skills, and extracting compounding value through incremental engagement. Created space for engineers to share struggles, surface problems they want AI to solve, and pursue hands-on discovery – driving cultural adoption of AI-assisted development across the engineering team.</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comprehensive technical and product documentation – covering purpose, migration patterns with examples, risk areas, and definition of done – and held open pairing sessions with engineers across teams, enabling each to independently lead their own domain migration.</w:t>
      </w:r>
    </w:p>
    <w:p>
      <w:pPr>
        <w:numPr>
          <w:ilvl w:val="0"/>
          <w:numId w:val="1002"/>
        </w:numPr>
        <w:pStyle w:val="Compact"/>
      </w:pPr>
      <w:r>
        <w:rPr>
          <w:bCs/>
          <w:b/>
        </w:rPr>
        <w:t xml:space="preserve">Revenue Initiatives</w:t>
      </w:r>
      <w:r>
        <w:t xml:space="preserve">: Introduced two new revenue streams: Plan Addons and Captions – together representing approximately 1% of company revenue.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w:t>
      </w:r>
    </w:p>
    <w:p>
      <w:pPr>
        <w:numPr>
          <w:ilvl w:val="0"/>
          <w:numId w:val="1002"/>
        </w:numPr>
        <w:pStyle w:val="Compact"/>
      </w:pP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2026-04-09T19:24:10Z</dcterms:created>
  <dcterms:modified xsi:type="dcterms:W3CDTF">2026-04-09T19:24:10Z</dcterms:modified>
</cp:coreProperties>
</file>

<file path=docProps/custom.xml><?xml version="1.0" encoding="utf-8"?>
<Properties xmlns="http://schemas.openxmlformats.org/officeDocument/2006/custom-properties" xmlns:vt="http://schemas.openxmlformats.org/officeDocument/2006/docPropsVTypes"/>
</file>