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that deliver measurable business outcomes – $6M+ in new ARR, $500k in annual cost savings, and 20% reduction in logo churn. Scales engineering culture through guilds, mentorship, and AI enablement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Ed-tech SaaS · Multi-tenant · 100-person engineering org</w:t>
      </w:r>
      <w:r>
        <w:t xml:space="preserve"> </w:t>
      </w:r>
      <w:r>
        <w:t xml:space="preserve">| Staff Engineer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Initiatives</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DTC e-commerce · Ruby on Rails</w:t>
      </w:r>
      <w:r>
        <w:t xml:space="preserve"> </w:t>
      </w:r>
      <w:r>
        <w:t xml:space="preserve">| Full Stack Software Engineer</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7"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M.S. &amp; B.S., Software Engineering | Minor in Mathematics</w:t>
      </w:r>
      <w:r>
        <w:t xml:space="preserve"> </w:t>
      </w:r>
      <w:r>
        <w:t xml:space="preserve">|</w:t>
      </w:r>
    </w:p>
    <w:bookmarkEnd w:id="26"/>
    <w:bookmarkEnd w:id="27"/>
    <w:bookmarkStart w:id="28"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New Relic,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2026-04-15T17:04:01Z</dcterms:created>
  <dcterms:modified xsi:type="dcterms:W3CDTF">2026-04-15T17:04:01Z</dcterms:modified>
</cp:coreProperties>
</file>

<file path=docProps/custom.xml><?xml version="1.0" encoding="utf-8"?>
<Properties xmlns="http://schemas.openxmlformats.org/officeDocument/2006/custom-properties" xmlns:vt="http://schemas.openxmlformats.org/officeDocument/2006/docPropsVTypes"/>
</file>