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id-cooper"/>
    <w:p>
      <w:pPr>
        <w:pStyle w:val="Heading1"/>
      </w:pPr>
      <w:r>
        <w:t xml:space="preserve">Reid Cooper</w:t>
      </w:r>
    </w:p>
    <w:p>
      <w:pPr>
        <w:pStyle w:val="FirstParagraph"/>
      </w:pPr>
      <w:hyperlink r:id="rId20">
        <w:r>
          <w:rPr>
            <w:rStyle w:val="Hyperlink"/>
          </w:rPr>
          <w:t xml:space="preserve">reid.cooper8@gmail.com</w:t>
        </w:r>
      </w:hyperlink>
      <w:r>
        <w:t xml:space="preserve"> </w:t>
      </w:r>
      <w:r>
        <w:t xml:space="preserve">| PHONEPLACEHOLDER |</w:t>
      </w:r>
      <w:r>
        <w:t xml:space="preserve"> </w:t>
      </w:r>
      <w:hyperlink r:id="rId21">
        <w:r>
          <w:rPr>
            <w:rStyle w:val="Hyperlink"/>
          </w:rPr>
          <w:t xml:space="preserve">https://me.reidcooper.dev</w:t>
        </w:r>
      </w:hyperlink>
    </w:p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Staff Engineer specializing in platform architecture, large-scale migrations, and building the systems and culture that let engineering organizations scale. 11+ years in Ruby on Rails, 3 years in Golang. Seeks out high-ambiguity, cross-cutting problems — vendor eliminations under hard deadlines, platform-wide decoupling initiatives spanning dozens of teams, and zero-to-one product builds. Identifies architectural leverage points, establishes patterns that enable independent execution, and builds durable technical culture through guilds, pairing, and architectural review.</w:t>
      </w:r>
    </w:p>
    <w:bookmarkEnd w:id="22"/>
    <w:bookmarkStart w:id="25" w:name="experience"/>
    <w:p>
      <w:pPr>
        <w:pStyle w:val="Heading2"/>
      </w:pPr>
      <w:r>
        <w:t xml:space="preserve">Experience</w:t>
      </w:r>
    </w:p>
    <w:bookmarkStart w:id="23" w:name="X2829290cbbaaed0baff5bc339e65c12908d1dc2"/>
    <w:p>
      <w:pPr>
        <w:pStyle w:val="Heading3"/>
      </w:pPr>
      <w:r>
        <w:t xml:space="preserve">Teachable (Hotmart) – New York, NY · Mar 2019 – Present</w:t>
      </w:r>
    </w:p>
    <w:p>
      <w:pPr>
        <w:pStyle w:val="FirstParagraph"/>
      </w:pPr>
      <w:r>
        <w:rPr>
          <w:bCs/>
          <w:b/>
        </w:rPr>
        <w:t xml:space="preserve">Ed-tech SaaS · Multi-tenant · 100-person engineering org</w:t>
      </w:r>
      <w:r>
        <w:t xml:space="preserve"> </w:t>
      </w:r>
      <w:r>
        <w:t xml:space="preserve">| Staff Engineer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Zero-to-One B2B Product (3-Month Delivery)</w:t>
      </w:r>
      <w:r>
        <w:t xml:space="preserve">: Stood up and led a 5-engineer team building the company’s first B2B product under a hard November 2025 deadline. Made early architectural bets on a multi-tenant isolation model and shared enrollment infrastructure to avoid re-architecture debt. Structured the team around subsystem ownership with incremental risk mitigation – removing senior-review bottlenecks while maintaining architectural coherence. Delivered on time: 115 beta accounts, 2,060 enrolled users with 100% growth in 2 weeks, first closed sale in Q1.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Large-Scale Vendor Migration (15M Files, 9 Weeks, $500K/yr Savings)</w:t>
      </w:r>
      <w:r>
        <w:t xml:space="preserve">: Led a 5-engineer tiger team eliminating a third-party file hosting dependency. Designed the migration architecture across 5 repositories and 30M+ database records with integrity validation to ensure zero data loss. Established monadic patterns for procedural reliability and reinforced them through pairing – enabling the team to execute independently across the codebase. Completed on schedule, saving $500K annually.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Data Layer &amp; Reporting Platform</w:t>
      </w:r>
      <w:r>
        <w:t xml:space="preserve">: Architected the platform’s reporting and export system for reliability at scale. Built Apache Airflow ETL pipelines and AWS DMS change data capture configurations. Designed a Golang microservice integrating with an internal streaming service to expose enriched datasets as NDJSON – creating the product’s first real-time data access layer.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Engineering Guild – AI &amp; Service Design</w:t>
      </w:r>
      <w:r>
        <w:t xml:space="preserve">: Co-led the cross-functional Services Guild spanning microservice design, architectural decision-making, and AI enablement. Ran a structured AI integration program – shifting the org from ad hoc experimentation to intentional, high-value adoption. Guild originally founded in 2022 (see below); expanded scope to include AI discipline and architectural governance at Staff level.</w:t>
      </w:r>
    </w:p>
    <w:p>
      <w:pPr>
        <w:pStyle w:val="FirstParagraph"/>
      </w:pPr>
      <w:r>
        <w:rPr>
          <w:bCs/>
          <w:b/>
        </w:rPr>
        <w:t xml:space="preserve">Senior Software Engineer II · Growth &amp; Revenue</w:t>
      </w:r>
      <w:r>
        <w:t xml:space="preserve"> </w:t>
      </w:r>
      <w:r>
        <w:t xml:space="preserve">| 2022 – 2024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Platform-Wide Entitlement Decoupling (+$6M ARR)</w:t>
      </w:r>
      <w:r>
        <w:t xml:space="preserve">: Led a cross-team initiative migrating all product engineering domains to a centralized entitlement service – decoupling the platform from hard-coded subscription tiers across 150+ locations in 3 applications. Authored migration patterns, risk documentation, and definition of done; held open pairing sessions enabling each team to lead their own domain migrations independently. Teams completed in as little as 2 weeks. Directly enabled a new pricing tier that drove a 21% revenue increase (+$6M ARR).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Revenue &amp; Retention Impact</w:t>
      </w:r>
      <w:r>
        <w:t xml:space="preserve">: Introduced two subscription add-on products generating $350K over 2 years using state machine and monadic patterns spanning multiple services. Co-designed a platform-wide tenant deactivation pattern to cascade dependencies consistently across services – reducing logo churn by 20%.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Entitlement Service – First Golang Microservice</w:t>
      </w:r>
      <w:r>
        <w:t xml:space="preserve">: Designed and built the organization’s first Golang microservice – a centralized entitlement service achieving 2ms p50 response time and 27K+ RPM. Integrated with Chargebee for structured subscription management, replacing scattered plan logic across the platform.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Services Guild – Founder</w:t>
      </w:r>
      <w:r>
        <w:t xml:space="preserve">: Founded the engineering Services Guild to grow architectural thinking across the org. Facilitated sessions on service boundaries, domain-driven design, and infrastructure trade-offs. Produced a reference microservice template enabling engineers to go from zero to production with shared platform tooling – leading to 5+ new services.</w:t>
      </w:r>
    </w:p>
    <w:p>
      <w:pPr>
        <w:pStyle w:val="FirstParagraph"/>
      </w:pPr>
      <w:r>
        <w:rPr>
          <w:bCs/>
          <w:b/>
        </w:rPr>
        <w:t xml:space="preserve">Senior Software Engineer I · Student Experience</w:t>
      </w:r>
      <w:r>
        <w:t xml:space="preserve"> </w:t>
      </w:r>
      <w:r>
        <w:t xml:space="preserve">| 2020 – 2022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Video Infrastructure Migration ($2M/yr Cost Reduction)</w:t>
      </w:r>
      <w:r>
        <w:t xml:space="preserve">: Led the full lifecycle migration of video infrastructure from a third-party provider to an in-house solution – redesigning integrations across 5+ products, maintaining content access-control integrity, and migrating 8 million assets. Reduced hosting costs from $3M to $1M annually.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On-Call &amp; Incident Readiness</w:t>
      </w:r>
      <w:r>
        <w:t xml:space="preserve">: Co-led the On-Call Operability program – built alerting standards, runbook design, and simulated incident exercises to train the engineering organization.</w:t>
      </w:r>
    </w:p>
    <w:p>
      <w:pPr>
        <w:pStyle w:val="FirstParagraph"/>
      </w:pPr>
      <w:r>
        <w:rPr>
          <w:bCs/>
          <w:b/>
        </w:rPr>
        <w:t xml:space="preserve">Software Engineer · Core</w:t>
      </w:r>
      <w:r>
        <w:t xml:space="preserve"> </w:t>
      </w:r>
      <w:r>
        <w:t xml:space="preserve">| 2019 – 2020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Page Editor v2</w:t>
      </w:r>
      <w:r>
        <w:t xml:space="preserve">: Designed and built the platform’s v2 page editor – replacing the legacy page builder with an extensible content creation toolkit and managed data migration path.</w:t>
      </w:r>
    </w:p>
    <w:bookmarkEnd w:id="23"/>
    <w:bookmarkStart w:id="24" w:name="X5195834514e73e1f8681601dab72f5aa6161aa6"/>
    <w:p>
      <w:pPr>
        <w:pStyle w:val="Heading3"/>
      </w:pPr>
      <w:r>
        <w:t xml:space="preserve">Mack Weldon – New York, NY · Sept 2015 – Mar 2019 · 3.5 yrs</w:t>
      </w:r>
    </w:p>
    <w:p>
      <w:pPr>
        <w:pStyle w:val="FirstParagraph"/>
      </w:pPr>
      <w:r>
        <w:rPr>
          <w:bCs/>
          <w:b/>
        </w:rPr>
        <w:t xml:space="preserve">DTC e-commerce · Ruby on Rails</w:t>
      </w:r>
      <w:r>
        <w:t xml:space="preserve"> </w:t>
      </w:r>
      <w:r>
        <w:t xml:space="preserve">| Software Engineer</w:t>
      </w:r>
    </w:p>
    <w:bookmarkEnd w:id="24"/>
    <w:bookmarkEnd w:id="25"/>
    <w:bookmarkStart w:id="27" w:name="education"/>
    <w:p>
      <w:pPr>
        <w:pStyle w:val="Heading2"/>
      </w:pPr>
      <w:r>
        <w:t xml:space="preserve">Education</w:t>
      </w:r>
    </w:p>
    <w:bookmarkStart w:id="26" w:name="monmouth-university-west-long-branch-nj"/>
    <w:p>
      <w:pPr>
        <w:pStyle w:val="Heading3"/>
      </w:pPr>
      <w:r>
        <w:t xml:space="preserve">Monmouth University – West Long Branch, NJ</w:t>
      </w:r>
    </w:p>
    <w:p>
      <w:pPr>
        <w:pStyle w:val="FirstParagraph"/>
      </w:pPr>
      <w:r>
        <w:rPr>
          <w:bCs/>
          <w:b/>
        </w:rPr>
        <w:t xml:space="preserve">M.S. &amp; B.S., Software Engineering | Minor in Mathematics</w:t>
      </w:r>
      <w:r>
        <w:t xml:space="preserve"> </w:t>
      </w:r>
      <w:r>
        <w:t xml:space="preserve">|</w:t>
      </w:r>
    </w:p>
    <w:bookmarkEnd w:id="26"/>
    <w:bookmarkEnd w:id="27"/>
    <w:bookmarkStart w:id="28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Languages</w:t>
      </w:r>
      <w:r>
        <w:t xml:space="preserve">: Ruby/Rails (11 yrs), Golang (3 yrs), JavaScript, HTML/CSS, SQL, BrightScript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Technologies</w:t>
      </w:r>
      <w:r>
        <w:t xml:space="preserve">: Microservice Architecture, AWS, Kubernetes, Docker, Terraform, PostgreSQL, Redis, Datadog, New Relic, System Design, Performance &amp; Observability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Core Skills</w:t>
      </w:r>
      <w:r>
        <w:t xml:space="preserve">: Technical Strategy, Cross-Functional Leadership, Organizational Influence, Stakeholder Communication, Incident Command, Mentoring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Tools</w:t>
      </w:r>
      <w:r>
        <w:t xml:space="preserve">: GitHub Copilot, Claude, ChatGPT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e.reidcooper.dev" TargetMode="External" /><Relationship Type="http://schemas.openxmlformats.org/officeDocument/2006/relationships/hyperlink" Id="rId20" Target="mailto:reid.cooper8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e.reidcooper.dev" TargetMode="External" /><Relationship Type="http://schemas.openxmlformats.org/officeDocument/2006/relationships/hyperlink" Id="rId20" Target="mailto:reid.cooper8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2026-04-20T21:13:30Z</dcterms:created>
  <dcterms:modified xsi:type="dcterms:W3CDTF">2026-04-20T21:13:30Z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