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specializing in platform architecture, large-scale migrations, and building the systems and culture that let engineering organizations scale. 11+ years in Ruby on Rails, 3 years in Golang. Seeks out high-ambiguity, cross-cutting problems — vendor eliminations under hard deadlines, platform-wide decoupling initiatives spanning dozens of teams, and zero-to-one product builds. Identifies architectural leverage points, establishes patterns that enable independent execution, and builds durable technical culture through guilds, pairing, and architectural review.</w:t>
      </w:r>
    </w:p>
    <w:bookmarkEnd w:id="22"/>
    <w:bookmarkStart w:id="25" w:name="experience"/>
    <w:p>
      <w:pPr>
        <w:pStyle w:val="Heading2"/>
      </w:pPr>
      <w:r>
        <w:t xml:space="preserve">Experience</w:t>
      </w:r>
    </w:p>
    <w:bookmarkStart w:id="23" w:name="X2829290cbbaaed0baff5bc339e65c12908d1dc2"/>
    <w:p>
      <w:pPr>
        <w:pStyle w:val="Heading3"/>
      </w:pPr>
      <w:r>
        <w:t xml:space="preserve">Teachable (Hotmart) – New York, NY · Mar 2019 – Present</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Zero-to-One B2B Product (3-Month Delivery)</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Large-Scale Vendor Migration (15M Files, 9 Weeks, $500K/yr Savings)</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Real-Time Data Layer &amp; Reporting Platform</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Engineering Guild – AI &amp; Service Design</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2022 – 2024</w:t>
      </w:r>
    </w:p>
    <w:p>
      <w:pPr>
        <w:numPr>
          <w:ilvl w:val="0"/>
          <w:numId w:val="1002"/>
        </w:numPr>
        <w:pStyle w:val="Compact"/>
      </w:pPr>
      <w:r>
        <w:rPr>
          <w:bCs/>
          <w:b/>
        </w:rPr>
        <w:t xml:space="preserve">Platform-Wide Entitlement Decoupling (+$6M ARR)</w:t>
      </w:r>
      <w:r>
        <w:t xml:space="preserve">: Led a cross-team initiative migrating all product engineering domains to a centralized entitlement service – decoupling the platform from hard-coded subscription tiers across 150+ locations in 3 applications. Authored migration patterns, risk documentation, and definition of done; held open pairing sessions enabling each team to lead their own domain migrations independently. Teams completed in as little as 2 weeks. Directly enabled a new pricing tier that drove a 21% revenue increase (+$6M ARR).</w:t>
      </w:r>
    </w:p>
    <w:p>
      <w:pPr>
        <w:numPr>
          <w:ilvl w:val="0"/>
          <w:numId w:val="1002"/>
        </w:numPr>
        <w:pStyle w:val="Compact"/>
      </w:pPr>
      <w:r>
        <w:rPr>
          <w:bCs/>
          <w:b/>
        </w:rPr>
        <w:t xml:space="preserve">Revenue &amp; Retention Impact</w:t>
      </w:r>
      <w:r>
        <w:t xml:space="preserve">: Introduced two subscription add-on products generating $350K over 2 years using state machine and monadic patterns spanning multiple services. Co-designed a platform-wide tenant deactivation pattern to cascade dependencies consistently across services – reducing logo churn by 20%.</w:t>
      </w:r>
    </w:p>
    <w:p>
      <w:pPr>
        <w:numPr>
          <w:ilvl w:val="0"/>
          <w:numId w:val="1002"/>
        </w:numPr>
        <w:pStyle w:val="Compact"/>
      </w:pPr>
      <w:r>
        <w:rPr>
          <w:bCs/>
          <w:b/>
        </w:rPr>
        <w:t xml:space="preserve">Entitlement Service – First Golang Microservice</w:t>
      </w:r>
      <w:r>
        <w:t xml:space="preserve">: Designed and built the organization’s first Golang microservice – a centralized entitlement service achieving 2ms p50 response time and 27K+ RPM. Integrated with Chargebee for structured subscription management, replacing scattered plan logic across the platform.</w:t>
      </w:r>
    </w:p>
    <w:p>
      <w:pPr>
        <w:numPr>
          <w:ilvl w:val="0"/>
          <w:numId w:val="1002"/>
        </w:numPr>
        <w:pStyle w:val="Compact"/>
      </w:pPr>
      <w:r>
        <w:rPr>
          <w:bCs/>
          <w:b/>
        </w:rPr>
        <w:t xml:space="preserve">Services Guild – Founder</w:t>
      </w:r>
      <w:r>
        <w:t xml:space="preserve">: Founded the engineering Services Guild to grow architectural thinking across the org. Facilitated sessions on service boundaries, domain-driven design, and infrastructure trade-offs. Produced a reference microservice template enabling engineers to go from zero to production with shared platform tooling – leading to 5+ new services.</w:t>
      </w:r>
    </w:p>
    <w:p>
      <w:pPr>
        <w:pStyle w:val="FirstParagraph"/>
      </w:pPr>
      <w:r>
        <w:rPr>
          <w:bCs/>
          <w:b/>
        </w:rPr>
        <w:t xml:space="preserve">Senior Software Engineer I · Student Experience</w:t>
      </w:r>
      <w:r>
        <w:t xml:space="preserve"> </w:t>
      </w:r>
      <w:r>
        <w:t xml:space="preserve">| 2020 – 2022</w:t>
      </w:r>
    </w:p>
    <w:p>
      <w:pPr>
        <w:numPr>
          <w:ilvl w:val="0"/>
          <w:numId w:val="1003"/>
        </w:numPr>
        <w:pStyle w:val="Compact"/>
      </w:pPr>
      <w:r>
        <w:rPr>
          <w:bCs/>
          <w:b/>
        </w:rPr>
        <w:t xml:space="preserve">Video Infrastructure Migration ($2M/yr Cost Reduction)</w:t>
      </w:r>
      <w:r>
        <w:t xml:space="preserve">: Led the full lifecycle migration of video infrastructure from a third-party provider to an in-house solution – redesigning integrations across 5+ products, maintaining content access-control integrity, and migrating 8 million assets. Reduced hosting costs from $3M to $1M annually.</w:t>
      </w:r>
    </w:p>
    <w:p>
      <w:pPr>
        <w:numPr>
          <w:ilvl w:val="0"/>
          <w:numId w:val="1003"/>
        </w:numPr>
        <w:pStyle w:val="Compact"/>
      </w:pPr>
      <w:r>
        <w:rPr>
          <w:bCs/>
          <w:b/>
        </w:rPr>
        <w:t xml:space="preserve">On-Call &amp; Incident Readiness</w:t>
      </w:r>
      <w:r>
        <w:t xml:space="preserve">: Co-led the On-Call Operability program – built alerting standards, runbook design, and simulated incident exercises to train the engineering organization.</w:t>
      </w:r>
    </w:p>
    <w:p>
      <w:pPr>
        <w:pStyle w:val="FirstParagraph"/>
      </w:pPr>
      <w:r>
        <w:rPr>
          <w:bCs/>
          <w:b/>
        </w:rPr>
        <w:t xml:space="preserve">Software Engineer · Core</w:t>
      </w:r>
      <w:r>
        <w:t xml:space="preserve"> </w:t>
      </w:r>
      <w:r>
        <w:t xml:space="preserve">| 2019 – 2020</w:t>
      </w:r>
    </w:p>
    <w:p>
      <w:pPr>
        <w:numPr>
          <w:ilvl w:val="0"/>
          <w:numId w:val="1004"/>
        </w:numPr>
        <w:pStyle w:val="Compact"/>
      </w:pPr>
      <w:r>
        <w:rPr>
          <w:bCs/>
          <w:b/>
        </w:rPr>
        <w:t xml:space="preserve">Page Editor v2</w:t>
      </w:r>
      <w:r>
        <w:t xml:space="preserve">: Designed and built the platform’s v2 page editor – replacing the legacy page builder with an extensible content creation toolkit and managed data migration path.</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5"/>
        </w:numPr>
        <w:pStyle w:val="Compact"/>
      </w:pPr>
      <w:r>
        <w:rPr>
          <w:bCs/>
          <w:b/>
        </w:rPr>
        <w:t xml:space="preserve">Languages</w:t>
      </w:r>
      <w:r>
        <w:t xml:space="preserve">: Ruby/Rails (11 yrs), Golang (3 yrs), JavaScript, HTML/CSS, SQL, BrightScript</w:t>
      </w:r>
    </w:p>
    <w:p>
      <w:pPr>
        <w:numPr>
          <w:ilvl w:val="0"/>
          <w:numId w:val="1005"/>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5"/>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5"/>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2026-04-20T21:10:21Z</dcterms:created>
  <dcterms:modified xsi:type="dcterms:W3CDTF">2026-04-20T21:10:21Z</dcterms:modified>
</cp:coreProperties>
</file>

<file path=docProps/custom.xml><?xml version="1.0" encoding="utf-8"?>
<Properties xmlns="http://schemas.openxmlformats.org/officeDocument/2006/custom-properties" xmlns:vt="http://schemas.openxmlformats.org/officeDocument/2006/docPropsVTypes"/>
</file>