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BRIEF TO THE LEGAL TEAM</w:t>
      </w:r>
    </w:p>
    <w:p>
      <w:pPr>
        <w:spacing w:after="60"/>
      </w:pPr>
      <w:r>
        <w:rPr>
          <w:sz w:val="24"/>
          <w:szCs w:val="24"/>
        </w:rPr>
        <w:t xml:space="preserve">Reid &amp; Ors - the NDIS matters: evidence and strategy in one document</w:t>
      </w:r>
    </w:p>
    <w:p>
      <w:pPr>
        <w:spacing w:after="140"/>
      </w:pPr>
      <w:r>
        <w:rPr>
          <w:i/>
          <w:iCs/>
          <w:color w:val="555555"/>
          <w:sz w:val="18"/>
          <w:szCs w:val="18"/>
        </w:rPr>
        <w:t xml:space="preserve">Prepared by Simon Reid (applicant) with AI assistance - 2 July 2026. Every factual item is sourced in Part 6; items not yet verified against a primary source are flagged. Nothing here is to be filed or served without your review. The applicants concede nothing: no fraud is admitted, and the Commission's case is contested in its entirety.</w:t>
      </w:r>
    </w:p>
    <w:p>
      <w:pPr>
        <w:pStyle w:val="Heading1"/>
        <w:spacing w:after="180" w:before="320"/>
      </w:pPr>
      <w:r>
        <w:t xml:space="preserve">Part 1 - The situation in one page</w:t>
      </w:r>
    </w:p>
    <w:p>
      <w:pPr>
        <w:pStyle w:val="ListParagraph"/>
        <w:numPr>
          <w:ilvl w:val="0"/>
          <w:numId w:val="2"/>
        </w:numPr>
        <w:spacing w:after="120"/>
      </w:pPr>
      <w:r>
        <w:t xml:space="preserve">Three arenas, one story. (1) The Administrative Review Tribunal: Vida Reid, Simon Reid and Forward Focused Group Pty Ltd challenge banning orders made 21 December 2022 (matters 2023/3361, 2023/3363, 2023/4494). Two decisions are reserved: our severance/sequencing application (since 22 April 2026) and the Respondent's non-disclosure application (since 19 May 2026). (2) The criminal shadow: all four charges against Vida were dismissed for want of prosecution on 23 February 2024 with a stated intention to recharge that has never been withdrawn - and never acted on, although the privilege review the prosecutors blamed was finished by 14 May 2024. (3) The prospective Federal Court case against the National Disability Insurance Agency (the Agency) and named officers, over the 2022 payment freeze and provider-exit campaign that destroyed the businesses before any banning order existed.</w:t>
      </w:r>
    </w:p>
    <w:p>
      <w:pPr>
        <w:pStyle w:val="ListParagraph"/>
        <w:numPr>
          <w:ilvl w:val="0"/>
          <w:numId w:val="2"/>
        </w:numPr>
        <w:spacing w:after="120"/>
      </w:pPr>
      <w:r>
        <w:t xml:space="preserve">The strategic centre of gravity has shifted from the Commission to the Agency. The Agency ran the operation from February 2022 (payment lock, participant steering, fraud allegations to third parties, the search); the Commission acted last, on Agency material. The Commission's banning case is the shield; the Agency's conduct is the wrong. The tribunal can review the bans but cannot award damages or reach the Agency - only the Federal Court can.</w:t>
      </w:r>
    </w:p>
    <w:p>
      <w:pPr>
        <w:pStyle w:val="ListParagraph"/>
        <w:numPr>
          <w:ilvl w:val="0"/>
          <w:numId w:val="2"/>
        </w:numPr>
        <w:spacing w:after="120"/>
      </w:pPr>
      <w:r>
        <w:t xml:space="preserve">What we hold that most litigants never get: contemporaneous primary documents for every load-bearing fact - the lock notice that cites no legal power, the third party's written record of the “pay nothing” instruction, the State Manager's written denial of that instruction two days later (in a letter that also summarily cleared the officer running the campaign), the quantified loss, the certified transcript of the prosecution's collapse, and four years of the Commonwealth describing the criminal matter inconsistently to different audiences.</w:t>
      </w:r>
    </w:p>
    <w:p>
      <w:pPr>
        <w:pStyle w:val="Heading1"/>
        <w:spacing w:after="180" w:before="320"/>
      </w:pPr>
      <w:r>
        <w:t xml:space="preserve">Part 2 - The strategy in four sentences</w:t>
      </w:r>
    </w:p>
    <w:p>
      <w:pPr>
        <w:pStyle w:val="ListParagraph"/>
        <w:numPr>
          <w:ilvl w:val="0"/>
          <w:numId w:val="2"/>
        </w:numPr>
        <w:spacing w:after="120"/>
      </w:pPr>
      <w:r>
        <w:t xml:space="preserve">Tribunal first: win severance so Simon's matter (3363) is heard first and Vida is not forced to give evidence while her jeopardy is formally preserved; then win the substantive review on the Abdullah framing - the Agency-sourced evidence is untested and not independent, and there is no present protective need.</w:t>
      </w:r>
    </w:p>
    <w:p>
      <w:pPr>
        <w:pStyle w:val="ListParagraph"/>
        <w:numPr>
          <w:ilvl w:val="0"/>
          <w:numId w:val="2"/>
        </w:numPr>
        <w:spacing w:after="120"/>
      </w:pPr>
      <w:r>
        <w:t xml:space="preserve">Squeeze the criminal limb shut in parallel: the prosecutors' decision-demand letter (drafted), the seized-property return demand (drafted), and the statement-of-reasons requests (drafted) each force a written answer; every answer - and every silence - feeds either severance (jeopardy live) or the substantive case and closure (jeopardy dead).</w:t>
      </w:r>
    </w:p>
    <w:p>
      <w:pPr>
        <w:pStyle w:val="ListParagraph"/>
        <w:numPr>
          <w:ilvl w:val="0"/>
          <w:numId w:val="2"/>
        </w:numPr>
        <w:spacing w:after="120"/>
      </w:pPr>
      <w:r>
        <w:t xml:space="preserve">File the Federal Court case against the Agency in 2027, after the tribunal hearing and before the limitation drop-dead (working assumption mid-2028, opinion commissioned): declarations of invalidity as the platform, interference with contract as the money count, misfeasance as the sting.</w:t>
      </w:r>
    </w:p>
    <w:p>
      <w:pPr>
        <w:pStyle w:val="ListParagraph"/>
        <w:numPr>
          <w:ilvl w:val="0"/>
          <w:numId w:val="2"/>
        </w:numPr>
        <w:spacing w:after="120"/>
      </w:pPr>
      <w:r>
        <w:t xml:space="preserve">Method throughout: never allege lying - lay the document pairs side by side and force written elections. Every election has no good exit for the Commonwealth.</w:t>
      </w:r>
    </w:p>
    <w:p>
      <w:pPr>
        <w:pStyle w:val="Heading1"/>
        <w:spacing w:after="180" w:before="320"/>
      </w:pPr>
      <w:r>
        <w:t xml:space="preserve">Part 3 - The Federal Court case (the centrepiece)</w:t>
      </w:r>
    </w:p>
    <w:p>
      <w:pPr>
        <w:pStyle w:val="Heading2"/>
        <w:spacing w:after="140" w:before="240"/>
      </w:pPr>
      <w:r>
        <w:t xml:space="preserve">Parties</w:t>
      </w:r>
    </w:p>
    <w:p>
      <w:pPr>
        <w:pStyle w:val="ListParagraph"/>
        <w:numPr>
          <w:ilvl w:val="0"/>
          <w:numId w:val="3"/>
        </w:numPr>
        <w:spacing w:after="120"/>
      </w:pPr>
      <w:r>
        <w:t xml:space="preserve">Applicants: Vida Reid; Simon Reid; Forward Focused Group Pty Ltd; Hybrid Hive Pty Ltd. PREREQUISITE: confirm both companies remain registered - a deregistered company cannot sue and would need reinstatement first. Please check this week.</w:t>
      </w:r>
    </w:p>
    <w:p>
      <w:pPr>
        <w:pStyle w:val="ListParagraph"/>
        <w:numPr>
          <w:ilvl w:val="0"/>
          <w:numId w:val="3"/>
        </w:numPr>
        <w:spacing w:after="120"/>
      </w:pPr>
      <w:r>
        <w:t xml:space="preserve">Respondents: the National Disability Insurance Agency (suable in its own name); the Commonwealth; Nathan Halls; Barbara Lundgren (Acting State Manager WA at the relevant time); such other officers as discovery identifies (the person(s) in “WA Operations - Participant Solutions” who gave the 4 October 2022 instruction).</w:t>
      </w:r>
    </w:p>
    <w:p>
      <w:pPr>
        <w:pStyle w:val="Heading2"/>
        <w:spacing w:after="140" w:before="240"/>
      </w:pPr>
      <w:r>
        <w:t xml:space="preserve">Count 1 - Declarations of invalidity (the platform)</w:t>
      </w:r>
    </w:p>
    <w:p>
      <w:pPr>
        <w:pStyle w:val="ListParagraph"/>
        <w:numPr>
          <w:ilvl w:val="0"/>
          <w:numId w:val="3"/>
        </w:numPr>
        <w:spacing w:after="120"/>
      </w:pPr>
      <w:r>
        <w:t xml:space="preserve">Sought: declarations that (a) the compliance lock applied 3 May 2022 and (b) the total payment stop of on or about 4 October 2022 were made without statutory authority, without procedural fairness, and are invalid. The Notice cites no provision (E1); no document at all records the October decision; The Hive received no notice of anything, ever. No state of mind needs to be proved. Their only answer is to produce the power and the decision-maker - which the reasons requests already demand in writing, pre-filing.</w:t>
      </w:r>
    </w:p>
    <w:p>
      <w:pPr>
        <w:pStyle w:val="ListParagraph"/>
        <w:numPr>
          <w:ilvl w:val="0"/>
          <w:numId w:val="3"/>
        </w:numPr>
        <w:spacing w:after="120"/>
      </w:pPr>
      <w:r>
        <w:t xml:space="preserve">Anticipated defence - delay (2022 conduct, 2027 filing). Answers: continuing effects (property still held, register permanence, business destruction); concealment (E7 - the written denial); and the declarations support the tort counts rather than seek to unwind a spent decision.</w:t>
      </w:r>
    </w:p>
    <w:p>
      <w:pPr>
        <w:pStyle w:val="Heading2"/>
        <w:spacing w:after="140" w:before="240"/>
      </w:pPr>
      <w:r>
        <w:t xml:space="preserve">Count 2 - Interference with contractual relations (the money count)</w:t>
      </w:r>
    </w:p>
    <w:p>
      <w:pPr>
        <w:pStyle w:val="ListParagraph"/>
        <w:numPr>
          <w:ilvl w:val="0"/>
          <w:numId w:val="3"/>
        </w:numPr>
        <w:spacing w:after="120"/>
      </w:pPr>
      <w:r>
        <w:t xml:space="preserve">Elements to evidence: the businesses had contracts with participants and payment arrangements with plan managers (known to the Agency, which administers the scheme); the Agency intentionally procured non-payment - “instruction from NDIA... Effective immediately, we are not able to pay ALL FFG and The Hive invoices” (E5), confirmed orally to the plan manager's compliance head; loss followed immediately and is partly quantified (E11: $22,921.01 unprocessable because “participant plans have been moved to NDIA managed”, plus $16,016.83 held). No malice element. The defence of statutory justification collapses into Count 1: name the power.</w:t>
      </w:r>
    </w:p>
    <w:p>
      <w:pPr>
        <w:pStyle w:val="Heading2"/>
        <w:spacing w:after="140" w:before="240"/>
      </w:pPr>
      <w:r>
        <w:t xml:space="preserve">Count 3 - Misfeasance in public office (the sting)</w:t>
      </w:r>
    </w:p>
    <w:p>
      <w:pPr>
        <w:pStyle w:val="ListParagraph"/>
        <w:numPr>
          <w:ilvl w:val="0"/>
          <w:numId w:val="3"/>
        </w:numPr>
        <w:spacing w:after="120"/>
      </w:pPr>
      <w:r>
        <w:t xml:space="preserve">Elements: an invalid or unauthorised act by a public officer, done with knowledge of (or reckless indifference to) the lack of power and the likelihood of harm. The mental element is where these cases die; here it rests on documents rather than inference: Halls told a landlord the fraud was “substantiated” when nothing had been tested anywhere (E4); the campaign's object WAS the harm (“coordinated provider exit”); the operation ran while the Agency's own notice said manual assessment only (E1 vs E5); and the Lundgren letter (E7) does double work - if the direction was authorised, the denial misled our solicitors; if it was not, the no-power element is established and the letter shows the Agency knew it. The cross-examination question that decides the count: why deny what you were entitled to do?</w:t>
      </w:r>
    </w:p>
    <w:p>
      <w:pPr>
        <w:pStyle w:val="ListParagraph"/>
        <w:numPr>
          <w:ilvl w:val="0"/>
          <w:numId w:val="3"/>
        </w:numPr>
        <w:spacing w:after="120"/>
      </w:pPr>
      <w:r>
        <w:t xml:space="preserve">Pleading discipline: facts, not conclusions (per the recent strike-out authorities). We plead the officers by name where documented and by description where not, and let discovery supply the approvals chain.</w:t>
      </w:r>
    </w:p>
    <w:p>
      <w:pPr>
        <w:pStyle w:val="Heading2"/>
        <w:spacing w:after="140" w:before="240"/>
      </w:pPr>
      <w:r>
        <w:t xml:space="preserve">Count 4 (counsel's call) - Injurious falsehood</w:t>
      </w:r>
    </w:p>
    <w:p>
      <w:pPr>
        <w:pStyle w:val="ListParagraph"/>
        <w:numPr>
          <w:ilvl w:val="0"/>
          <w:numId w:val="3"/>
        </w:numPr>
        <w:spacing w:after="120"/>
      </w:pPr>
      <w:r>
        <w:t xml:space="preserve">The Yaran publication (E4) and participant-facing statements (E6): false characterisation (“substantiated”), published to third parties, calculated to cause and causing economic loss, with malice provable on the documents. Defamation itself is long time-barred; injurious falsehood may not be. Please advise whether to plead it or hold it as malice particulars within Count 3.</w:t>
      </w:r>
    </w:p>
    <w:p>
      <w:pPr>
        <w:pStyle w:val="Heading2"/>
        <w:spacing w:after="140" w:before="240"/>
      </w:pPr>
      <w:r>
        <w:t xml:space="preserve">Relief, forum, and what we deliberately do not seek</w:t>
      </w:r>
    </w:p>
    <w:p>
      <w:pPr>
        <w:pStyle w:val="ListParagraph"/>
        <w:numPr>
          <w:ilvl w:val="0"/>
          <w:numId w:val="3"/>
        </w:numPr>
        <w:spacing w:after="120"/>
      </w:pPr>
      <w:r>
        <w:t xml:space="preserve">Declarations; compensatory damages for the destruction of both businesses (expert quantum report required - revenue run-rate pre-freeze vs post); aggravated and exemplary damages on the misfeasance count; interest and costs. Jurisdiction: Federal Court (officers of the Commonwealth; matter arising under Commonwealth law) - confirm the precise gateway. We do NOT ask the Federal Court to touch the banning orders: that stays in the tribunal, so the two forums cannot be played against each other.</w:t>
      </w:r>
    </w:p>
    <w:p>
      <w:pPr>
        <w:pStyle w:val="Heading2"/>
        <w:spacing w:after="140" w:before="240"/>
      </w:pPr>
      <w:r>
        <w:t xml:space="preserve">Honest assessment</w:t>
      </w:r>
    </w:p>
    <w:p>
      <w:pPr>
        <w:pStyle w:val="ListParagraph"/>
        <w:numPr>
          <w:ilvl w:val="0"/>
          <w:numId w:val="3"/>
        </w:numPr>
        <w:spacing w:after="120"/>
      </w:pPr>
      <w:r>
        <w:t xml:space="preserve">Survival past strike-out: good - the documentary base is unusually strong for this tort. Misfeasance at trial: uncertain (30-45% on present documents, rising with discovery). Interference count: 50%+ unless a genuine power is produced. Declarations: strongest. Most likely good outcome: settlement after discovery, where register relief can be negotiated even though the court could not order it. Cost to the end of discovery: roughly $150,000-$300,000; trial multiples of that. A litigation funder conversation is worth having - documented, quantified claims against the Commonwealth are fundable, at a price (typically 25-40% of recovery).</w:t>
      </w:r>
    </w:p>
    <w:p>
      <w:pPr>
        <w:pStyle w:val="Heading1"/>
        <w:spacing w:after="180" w:before="320"/>
      </w:pPr>
      <w:r>
        <w:t xml:space="preserve">Part 4 - The tribunal strategy</w:t>
      </w:r>
    </w:p>
    <w:p>
      <w:pPr>
        <w:pStyle w:val="ListParagraph"/>
        <w:numPr>
          <w:ilvl w:val="0"/>
          <w:numId w:val="4"/>
        </w:numPr>
        <w:spacing w:after="120"/>
      </w:pPr>
      <w:r>
        <w:t xml:space="preserve">Severance (reserved since 22 April): Simon's 3363 first; Vida's matters deferred while her jeopardy subsists. The certified transcript (E15) is the anchor - the intention to recharge is on the court record, twice, and has never been withdrawn. A short letter seeking leave to provide the transcript in support of the reserved application should go now (it can ride with the delay-chase record, E24). Note the discipline: the “they've had the material two years and done nothing” argument stays OUT of the severance file (it cuts against Vida's jeopardy claim) and is reserved for the closure letters and the substantive hearing.</w:t>
      </w:r>
    </w:p>
    <w:p>
      <w:pPr>
        <w:pStyle w:val="ListParagraph"/>
        <w:numPr>
          <w:ilvl w:val="0"/>
          <w:numId w:val="4"/>
        </w:numPr>
        <w:spacing w:after="120"/>
      </w:pPr>
      <w:r>
        <w:t xml:space="preserve">Non-disclosure application (reserved since 19 May): our opposition is filed (19 May, ref 4MY6NN). The 7 May application is itself Exhibit A of the pattern: secrecy over “investigation” material from the party that says no investigation exists (E22 vs E20), and it falsified the Respondent's own “no further interlocutory matters” statement (E21).</w:t>
      </w:r>
    </w:p>
    <w:p>
      <w:pPr>
        <w:pStyle w:val="ListParagraph"/>
        <w:numPr>
          <w:ilvl w:val="0"/>
          <w:numId w:val="4"/>
        </w:numPr>
        <w:spacing w:after="120"/>
      </w:pPr>
      <w:r>
        <w:t xml:space="preserve">Substantive case (Abdullah-proofed, per the existing amended draft): no freestanding procedural-fairness or improper-purpose ground in the tribunal - instead: the Agency-sourced and competitor-sourced evidence is untested and not independent (weight); there is no present protective need (never charged; nothing tested; FFG's ban already expired; the “processes in motion” rationale evaporated with the prosecution); duration and scope disproportionate; affirmative suitability case. Improper purpose is reserved for the Federal Court where it belongs.</w:t>
      </w:r>
    </w:p>
    <w:p>
      <w:pPr>
        <w:pStyle w:val="ListParagraph"/>
        <w:numPr>
          <w:ilvl w:val="0"/>
          <w:numId w:val="4"/>
        </w:numPr>
        <w:spacing w:after="120"/>
      </w:pPr>
      <w:r>
        <w:t xml:space="preserve">Summons targets (tribunal summons power) in priority order: Barbara Lundgren (the election under oath), Nathan Halls, the “WA Operations - Participant Solutions” officer(s), Tim Jarratt, Bruce Graydon. The two elections we force: 2024-26 - the investigation is dead (then say so and the protective rationale collapses) or alive (then the 2025 assurance was empty and severance follows); 2022 - the October stop was authorised (name the power and person) or unauthorised (the State Manager's denial was accurate only because her officers were off the leash).</w:t>
      </w:r>
    </w:p>
    <w:p>
      <w:pPr>
        <w:pStyle w:val="ListParagraph"/>
        <w:numPr>
          <w:ilvl w:val="0"/>
          <w:numId w:val="4"/>
        </w:numPr>
        <w:spacing w:after="120"/>
      </w:pPr>
      <w:r>
        <w:t xml:space="preserve">Delay posture: severance has been reserved ten weeks, the non-disclosure application six; the 24 June status request drew an auto-acknowledgment (E24). If nothing lands by mid-July, escalate formally rather than send another polite email - advise on the appropriate complaint pathway.</w:t>
      </w:r>
    </w:p>
    <w:p>
      <w:pPr>
        <w:pStyle w:val="Heading1"/>
        <w:spacing w:after="180" w:before="320"/>
      </w:pPr>
      <w:r>
        <w:t xml:space="preserve">Part 5 - The closure instruments (drafted, sequenced)</w:t>
      </w:r>
    </w:p>
    <w:p>
      <w:pPr>
        <w:pStyle w:val="ListParagraph"/>
        <w:numPr>
          <w:ilvl w:val="0"/>
          <w:numId w:val="2"/>
        </w:numPr>
        <w:spacing w:after="120"/>
      </w:pPr>
      <w:r>
        <w:t xml:space="preserve">Prosecutors' decision-demand (drafted; to be sent AFTER the severance ruling): recharge or close within 28 days; the privilege excuse died 13-14 May 2024; passage-of-time factors under the Prosecution Policy; abuse-of-process rights reserved. Its best-case answer (“closed”) would undercut the severance substrate mid-reserve - hence the sequencing.</w:t>
      </w:r>
    </w:p>
    <w:p>
      <w:pPr>
        <w:pStyle w:val="ListParagraph"/>
        <w:numPr>
          <w:ilvl w:val="0"/>
          <w:numId w:val="2"/>
        </w:numPr>
        <w:spacing w:after="120"/>
      </w:pPr>
      <w:r>
        <w:t xml:space="preserve">Property-return demand to the Agency (drafted; can go NOW): return the INV22-080 property or identify the retention authority (Crimes Act ss 3ZQU/3ZQX/3ZQZB - no retention order was ever notified, no right to be heard given). Retention asserted = live investigation on the record (helps severance); return = closure signal. Either answer helps.</w:t>
      </w:r>
    </w:p>
    <w:p>
      <w:pPr>
        <w:pStyle w:val="ListParagraph"/>
        <w:numPr>
          <w:ilvl w:val="0"/>
          <w:numId w:val="2"/>
        </w:numPr>
        <w:spacing w:after="120"/>
      </w:pPr>
      <w:r>
        <w:t xml:space="preserve">Statement-of-reasons requests (drafted; can go NOW): reasons for the 3 May lock, the October stop (including who held the delegation and why The Hive was included), and the referral to the Commission. Refusal requires written notice with reasons in 14 days; a “not a reviewable decision” answer is the no-power admission that feeds Count 1.</w:t>
      </w:r>
    </w:p>
    <w:p>
      <w:pPr>
        <w:pStyle w:val="ListParagraph"/>
        <w:numPr>
          <w:ilvl w:val="0"/>
          <w:numId w:val="2"/>
        </w:numPr>
        <w:spacing w:after="120"/>
      </w:pPr>
      <w:r>
        <w:t xml:space="preserve">Freedom-of-information program: the element-mapped request to the Agency (drafted - freeze authority, exit-campaign approvals, referral file, steering records, Border Force request, property records, prosecutor communications; excludes tribunal-protected documents and legal-advice content). NOTE: the six send-ready requests from the 26 June program (including the prosecutors and the Commission - never lodged) are STILL SITTING UNSENT. Sending them is the cheapest outstanding step in the entire strategy.</w:t>
      </w:r>
    </w:p>
    <w:p>
      <w:pPr>
        <w:pStyle w:val="ListParagraph"/>
        <w:numPr>
          <w:ilvl w:val="0"/>
          <w:numId w:val="2"/>
        </w:numPr>
        <w:spacing w:after="120"/>
      </w:pPr>
      <w:r>
        <w:t xml:space="preserve">Verification letter to the government's solicitors (to be drafted on your advice, after the severance ruling): the six dimensions of the 11 March 2025 letter, item by item - which agencies were asked, which persons and entities covered, criminal versus intelligence versus compliance activity, brief status, and what enquiries were actually made - with the schedule attached so they answer knowing the aggregate is assembled.</w:t>
      </w:r>
    </w:p>
    <w:p>
      <w:pPr>
        <w:pStyle w:val="ListParagraph"/>
        <w:numPr>
          <w:ilvl w:val="0"/>
          <w:numId w:val="2"/>
        </w:numPr>
        <w:spacing w:after="120"/>
      </w:pPr>
      <w:r>
        <w:t xml:space="preserve">Limitation opinion (instructions drafted): the single calendar date by which the federal case must be filed, and the minimum pleading to survive strike-out. Commission this month - it disciplines the whole calendar.</w:t>
      </w:r>
    </w:p>
    <w:p>
      <w:pPr>
        <w:pStyle w:val="Heading1"/>
        <w:spacing w:after="180" w:before="320"/>
      </w:pPr>
      <w:r>
        <w:t xml:space="preserve">Part 6 - The evidence brief (itemised)</w:t>
      </w:r>
    </w:p>
    <w:p>
      <w:pPr>
        <w:spacing w:after="140"/>
      </w:pPr>
      <w:r>
        <w:rPr>
          <w:i/>
          <w:iCs/>
          <w:sz w:val="18"/>
          <w:szCs w:val="18"/>
        </w:rPr>
        <w:t xml:space="preserve">Each exhibit: what it is, what it proves, where it lives, and its verification status. Primary documents remain in their native locations (mailboxes untouched for forensic integrity); working copies and extractions are in the case folder. The full chronological version with quotes is the separate Schedule v3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150"/>
        <w:gridCol w:w="2450"/>
        <w:gridCol w:w="3040"/>
        <w:gridCol w:w="1826"/>
      </w:tblGrid>
      <w:tr>
        <w:tc>
          <w:tcPr>
            <w:tcW w:type="dxa" w:w="56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No.</w:t>
            </w:r>
          </w:p>
        </w:tc>
        <w:tc>
          <w:tcPr>
            <w:tcW w:type="dxa" w:w="115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Date</w:t>
            </w:r>
          </w:p>
        </w:tc>
        <w:tc>
          <w:tcPr>
            <w:tcW w:type="dxa" w:w="245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Document</w:t>
            </w:r>
          </w:p>
        </w:tc>
        <w:tc>
          <w:tcPr>
            <w:tcW w:type="dxa" w:w="304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What it proves</w:t>
            </w:r>
          </w:p>
        </w:tc>
        <w:tc>
          <w:tcPr>
            <w:tcW w:type="dxa" w:w="1826"/>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Source &amp; status</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3-5 May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Notice of Compliance Lock (ref 4050074913) + covering email cc Agency Intelligence team</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freeze's only legal foundation: cites NO statutory provision; no named decision-maker (“Payment Review Team - Delegate of the Chief Executive Officer”); measure limited to manual assessment of FFG payments only; The Hive not mentioned; Intelligence copied from day one.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(email 5 May 2022 12:34pm); extracted copy in case folder. VERIFIED (primary).</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May-Jul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Vida's four unanswered chase-ups to Payment Review + Intelligence; “URGENT Non-Payment” chain (participant Gregory Clark); Agency 19 Jul 2022 “Compliance Lock questions” reply</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Provider sought particulars and correction repeatedly; Agency's own explanatory email also cites no power; by June-July payments were in practice not being paid despite the manual-assessment framing.</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E3</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16 Aug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Halls email cc fraud reporting + Commission officer (Tear) - “request for service”</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Agency-Commission coordination channel opened months before any Commission decision.</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 tender bundle T9.22.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E4</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29 Sep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Halls email to Yaran Property Group (landlord), cc WA Operations: “substantiated claims of fraud and/or abuse and neglect... I am leading a coordinated provider exit on behalf of the NDIA...”</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Untested fraud allegations published to a commercial third party as “substantiated”, pre-ban, pre-charge; self-identified Agency authority for a provider-destruction campaign. Core malice/improper-purpose particular.</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(chain to Vida 7 Oct 2022). VERIFIED (primary).</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E5</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4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Assist Plan Managers (Karen Ruth, Head of Compliance) 11:14am: “instruction from NDIA... personally spoken to WA Operations - Participant Solutions team... Effective immediately, we are not able to pay ALL FFG and The Hive invoices.”</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payment stop: total, immediate, both entities, executed through a third party. Far beyond the E1 measure; The Hive never received any notice. Central document of the interference count.</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primary with headers (fwd to Bennett same day 11:40am).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E6</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5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Agency officer Millan to participant's father: consent removed; “Alert placed on the record... no further communication or involvement with forward focus group”</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Active participant removal the day before the Agency denied directing anything.</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E7</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6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Lundgren (Acting State Manager WA; Halls's superior) letter to Bennett 5:16pm: “The Agency has not directed Assist Plan Managers to cease all payments...” AND “...satisfied the allegations [about Halls] are without merit.”</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denial + exoneration document. Contradicted by E5 two days earlier. Forces the central election: misleading denial, unauthorised operation, or word-games. Also evidence of concealment (limitation postponement).</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(Nofal forward 6:33pm). VERIFIED (primary).</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E8</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7-10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Karen Ruth: “seeking clarification due to conflicting information” (7 Oct); resumption only on Agency-imposed conditions “whilst an investigation is in place” (10 Oct)</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Neutral third party contemporaneously records the contradiction between E5 and E7; “resumption” was conditioned, not restored.</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E9</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7-11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Jarratt (Agency Fraud Intelligence, Melbourne) canvassing participants re FFG AND Hybrid; Brenda Ryan (Fraud &amp; Intelligence, Brisbane) meeting</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“sustainability review” was a multi-state fraud operation in the field while no lawful fraud instrument was ever cited to the provider.</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E10</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19 Oct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Search of 96 Amethyst Crescent; Property Seizure Record form ARCD01, case INV22-080, NDIA Fraud Investigations; items incl. Surface Pro, FFG backup HDD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Agency itself executed the criminal search; property held ever since (44+ months).</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(OCR set). VERIFIED (primary record; provenance of copy noted).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E11</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15 Nov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Karen Ruth “Status of The Hive Invoices”: $22,921.01 “unable to process as participant plans have been moved to NDIA managed” + $16,016.83 held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Quantified causation: freeze → reallocation → permanent loss, five weeks BEFORE any banning order, for an entity never given notice.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FFG Outlook.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E12</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21 Dec 2022</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Banning orders (Vida, Simon, FFG, Hybrid Hive) and decision brief EC22-002103 (“Project Archer”)</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Commission acted last, substantially on Agency-sourced material; brief reportedly admits reliance on NDIA statements and that “the NDIA currently has an investigation ongoing” and “the Provider Exit Protocol has been actioned with the NDIA”.</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Orders VERIFIED; EC22-002103 internal quotes TO VERIFY against primary brief.</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E13</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Nov 2023 - May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Privilege-review protocol set: government proposal 28 Nov 2023; 22 Dec 2023 letter flagging “potential adjournment”; acceptance 8 Jan 2024; review commenced 12 Jan 2024 (McGrathNicol platform); finalised privilege schedule delivered 13 May 2024; no claims over audio/media 14 May 2024</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only obstacle later cited for the discontinuance was resolved by mid-May 2024. The government has had access to the reviewed material for 2+ years without any step. Administered by the Australian Government Solicitor for the Agency.</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(Bennett/Nofal correspondence, thread IDs on file).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E14</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14 Feb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Prosecutor (Stynes) asks defence to consent to adjourn to ~10 May 2024 (“LPP material is still outstanding”); defence instructs “NO and an objection... on record”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Nine days later the prosecution dismissed its own charges: the discontinuance followed the refusal of more time.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thread 14 Feb 2024.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E15</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23 Feb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Certified transcript, Magistrates Court WA, PE 45655-45658/2022: dismissal for want of prosecution (s 25 Criminal Procedure Act (WA)) on the prosecution's application; formal discharge; “so they can be commenced at a later date”; “an intention to recharge”; reasons: incomplete brief, outstanding disclosure, privilege over six devices; no evidence ever adduced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criminal allegations were never tested anywhere. Jeopardy expressly preserved on the record - the spine of the severance application and of the closure demands.</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(certified 19 Apr 2024). VERIFIED (primary).</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E16</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28 Feb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Respondent's tribunal submissions: Vida “appeared... for a mention hearing on 23 February 2024”; proceedings “have not progressed”; stay sought re “the concurrent criminal proceedings”; ¶6: no brief re Simon ever sent to prosecutors</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Materially inaccurate account given to the Tribunal five days after the proceedings ended; also the only admission that no criminal brief concerning Simon ever existed.</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copy. VERIFIED (text-searched).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E17</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Mar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Agency Serious &amp; Complex Non-Compliance officers telephoning FFG's former contacts one month post-discontinuance</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Investigation continued immediately after the prosecution ended.</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E18</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Sep-Oct 2024</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Border Force stop of Vida; released documents: “Law Enforcement interest”, action “on behalf of another agency”; four further devices seized; complaints cc'd to named prosecutors</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border system actioned against Vida for an unnamed agency between the discontinuance and the “no investigation” assurance.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(FOI release FA 24/10/01764; redaction under review MR26/00947).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E19</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Dec 2024 - Jan 2025</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Weeks &amp; Co thread: government lawyers agree to Vida withdrawing her applications with no costs; consent orders drafted 7 Jan 2025 (withdrawal = dismissal, irreversible, ss 102(3),(8) ART Act per solicitor's advice); never sent - 7-9 Jan 2025 home visits; solicitor: “It certainly does not look like the investigation has ended”; 8 Jan instruction: proceed with stay instead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Commonwealth's own field conduct reversed the negotiated exit ten weeks before the “no investigation” letter. Deployment of this item is a counsel decision (reveals a near-withdrawal).</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threads.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E20</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11 + 19 Mar 2025</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Government lawyers' letters: “...informed that there is no current criminal investigation pertaining to Mrs Reid or to FFG”; follow-up narrows to “as was relayed”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unfalsifiable assurance: three-layer hearsay, Agency only, criminal-investigation only, Vida &amp; FFG only, single date - silent on the recorded recharge intention; authored by the office that administered E13.</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copies (ref 23004627). VERIFIED (exact wording analysed).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E21</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17 Sep 2025 / 19 Mar 2026</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Stay submissions ¶47 (charges dropped); 19 Mar 2026 ¶52.1 (“have been dropped”) and ¶8 (“no further interlocutory matters”)</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Criminal matter deployed as historical when convenient; ¶8 falsified seven weeks later by the Respondent's own non-disclosure application.</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Pinpoints TO VERIFY (PDFs lack text layers).</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E22</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7 May 2026</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Respondent's non-disclosure application (Attachment O/EC22-002103; Attachment G/EC22-002521) + letter withholding Attachment P and A-F+Q</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Continued secrecy over “investigation” material by the party asserting no investigation exists.</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Folder.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E23</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26 Jun 2026</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Commission admits the public register attributed six 28 Sep 2023 infringement notices to the wrong company (cancelled bookkeeping firm's ABN, not Nurse Assist 24/7); “taken steps to amend the post”; substantive questions unanswered</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Register integrity: the instrument of the applicants' permanent public listing is demonstrably unreliable - on the very provider at the centre of the steering questions. Archive pre/post versions.</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26 Jun 2026.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E24</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24 Jun 2026</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Applicants' status request to the Tribunal (severance reserved since 22 Apr; non-disclosure since 19 May), cc government lawyers; rights reserved re delay; auto-acknowledgment only</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delay record: two reserved decisions, ten and six weeks, no substantive response.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Gmail sent items. VERIFIED.</w:t>
            </w:r>
          </w:p>
        </w:tc>
      </w:tr>
      <w:tr>
        <w:tc>
          <w:tcPr>
            <w:tcW w:type="dxa" w:w="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E25</w:t>
            </w:r>
          </w:p>
        </w:tc>
        <w:tc>
          <w:tcPr>
            <w:tcW w:type="dxa" w:w="11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2022-2027</w:t>
            </w:r>
          </w:p>
        </w:tc>
        <w:tc>
          <w:tcPr>
            <w:tcW w:type="dxa" w:w="245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Register extracts: Vida in force to 21 Dec 2027; Simon to 22 Dec 2027; FFG expired 20 Dec 2025; Hybrid Hive permanent; “ever been in force” permanence under the Registration Rules</w:t>
            </w:r>
          </w:p>
        </w:tc>
        <w:tc>
          <w:tcPr>
            <w:tcW w:type="dxa" w:w="30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continuing harm and the clock. Permanent register visibility survives expiry (answers any mootness argument - Shi).</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Register (node references on file). VERIFIED.</w:t>
            </w:r>
          </w:p>
        </w:tc>
      </w:tr>
    </w:tbl>
    <w:p>
      <w:pPr>
        <w:pStyle w:val="Heading1"/>
        <w:spacing w:after="180" w:before="320"/>
      </w:pPr>
      <w:r>
        <w:t xml:space="preserve">Part 7 - The laws we rely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26"/>
      </w:tblGrid>
      <w:tr>
        <w:tc>
          <w:tcPr>
            <w:tcW w:type="dxa" w:w="320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Law</w:t>
            </w:r>
          </w:p>
        </w:tc>
        <w:tc>
          <w:tcPr>
            <w:tcW w:type="dxa" w:w="4000"/>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What we use it for</w:t>
            </w:r>
          </w:p>
        </w:tc>
        <w:tc>
          <w:tcPr>
            <w:tcW w:type="dxa" w:w="1826"/>
            <w:tcBorders>
              <w:top w:val="single" w:color="BBBBBB" w:sz="1"/>
              <w:left w:val="single" w:color="BBBBBB" w:sz="1"/>
              <w:bottom w:val="single" w:color="BBBBBB" w:sz="1"/>
              <w:right w:val="single" w:color="BBBBBB" w:sz="1"/>
            </w:tcBorders>
            <w:shd w:fill="D9D9D9" w:val="clear"/>
            <w:tcMar>
              <w:top w:type="dxa" w:w="50"/>
              <w:left w:type="dxa" w:w="90"/>
              <w:bottom w:type="dxa" w:w="50"/>
              <w:right w:type="dxa" w:w="90"/>
            </w:tcMar>
          </w:tcPr>
          <w:p>
            <w:r>
              <w:rPr>
                <w:b/>
                <w:bCs/>
                <w:sz w:val="16"/>
                <w:szCs w:val="16"/>
              </w:rPr>
              <w:t xml:space="preserve">Verification status</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Administrative Review Tribunal Act 2024 (Cth) - ss 70, 71, 74; ss 102(3), (8); ss 23, 105</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Non-disclosure orders and mandatory considerations (s 71(2)(c): evidence available to all parties); summons power for non-parties (Lundgren, Halls, Jarratt, Graydon); withdrawal = irreversible dismissal; production and procedure.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Texts verified (10 Jun 2026 research; s 102 per solicitor's advice E19).</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Judiciary Act 1903 (Cth) s 39B; Federal Court of Australia Act 1976 (Cth) s 21</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Federal Court jurisdiction over officers of the Commonwealth and matters arising under Commonwealth law; declaratory relief (Count 1).</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Gateway provisions - counsel to confirm precise basis.</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Administrative Decisions (Judicial Review) Act 1977 (Cth) s 13 (incl. s 13(5))</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Statements of reasons for the lock, the October payment stop and the referral; 14-day written refusal notice; the “not a reviewable decision” answer is the no-power admission.</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Mechanics verified 2 Jul 2026. Requests drafted.</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Crimes Act 1914 (Cth) ss 3ZQU, 3ZQX(1), 3ZQZB (incl. (5)-(8))</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Seized property: permitted purposes; duty to return when no longer required; magistrate's order required for extended retention, with notice and a right to be heard - never given. Foundation of the property-return demand. (Note: former s 3ZV is repealed - do not cite.)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Texts verified 2 Jul 2026 (AustLII).</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Criminal Procedure Act 2004 (WA) s 25 (applied to Commonwealth prosecutions)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discontinuance mechanism: dismissal for want of prosecution where no evidence adduced; discharge is not acquittal; recharge legally open.</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 25 text read onto the record by the magistrate (E15). Judiciary Act pickup - counsel confirm.</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Freedom of Information Act 1982 (Cth) (incl. s 24AB); Australian Privacy Principle 12</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element-mapped document requests to the Agency; personal-information framing; consultation before any practical refusal.</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Requests drafted; lodgement address verified (foi@ndis.gov.au).</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National Disability Insurance Scheme Act 2013 (Cth) - payment provisions (candidates ss 45-46), s 73J (infringement notices), s 73ZN (banning orders); NDIS (Provider Registration and Practice Standards) Rules - r 9(2)(b)</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statutory field: what power (if any) supported the lock and the stop is THE central question - the Agency's documents cite none. Register permanence (“ever been in force”) defeats mootness.</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Payment-provision candidates UNVERIFIED - counsel to identify; s 73ZN/r 9(2)(b) verified in earlier research.</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Limitation Act 2005 (WA) (candidate: 6 years, s 13); postponement/concealment doctrines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clock on the tort counts: accrual from the 3 May / 4 Oct 2022 measures; working assumption is a mid-2028 drop-dead filing date; E7 (the denial) is concealment evidence.</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UNVERIFIED - the subject of the limitation opinion (instructions drafted).</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Common law: misfeasance in public office (Northern Territory v Mengel; Sanders v Snell; recent: Stradford v Vasta [2023] FCA 1020; pleading discipline: Ascic v AFP [2025] FCA 124; Dunstan v Orr (No 2) [2023] FCA 1536); interference with contractual relations; injurious falsehood (counsel call); Shi [2008] HCA 31; Abdullah [2026] ARTA 743; Axis [2009] FCA 250</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The tort counts and their pleading standard; mootness answer; the tribunal reframe (protective character, evidence-weight, no present protective need); severance as undecided gateway.</w:t>
            </w:r>
          </w:p>
        </w:tc>
        <w:tc>
          <w:tcPr>
            <w:tcW w:type="dxa" w:w="1826"/>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6"/>
                <w:szCs w:val="16"/>
              </w:rPr>
              <w:t xml:space="preserve">Set verified in 10 Jun 2026 research (URLs in memo). STANDING RULE: every authority re-verified against primary sources before any filing.</w:t>
            </w:r>
          </w:p>
        </w:tc>
      </w:tr>
    </w:tbl>
    <w:p>
      <w:pPr>
        <w:pStyle w:val="Heading1"/>
        <w:spacing w:after="180" w:before="320"/>
      </w:pPr>
      <w:r>
        <w:t xml:space="preserve">Part 8 - What is missing and how it arrives</w:t>
      </w:r>
    </w:p>
    <w:p>
      <w:pPr>
        <w:pStyle w:val="ListParagraph"/>
        <w:numPr>
          <w:ilvl w:val="0"/>
          <w:numId w:val="3"/>
        </w:numPr>
        <w:spacing w:after="120"/>
      </w:pPr>
      <w:r>
        <w:t xml:space="preserve">The delegation instrument and the identity of the October decision-maker - via the reasons requests and information requests, or their refusal (which is itself the admission).</w:t>
      </w:r>
    </w:p>
    <w:p>
      <w:pPr>
        <w:pStyle w:val="ListParagraph"/>
        <w:numPr>
          <w:ilvl w:val="0"/>
          <w:numId w:val="3"/>
        </w:numPr>
        <w:spacing w:after="120"/>
      </w:pPr>
      <w:r>
        <w:t xml:space="preserve">The Halls-Lundgren approvals chain and the Agency-to-Commission referral file - via discovery once filed; the filed case is the real discovery device.</w:t>
      </w:r>
    </w:p>
    <w:p>
      <w:pPr>
        <w:pStyle w:val="ListParagraph"/>
        <w:numPr>
          <w:ilvl w:val="0"/>
          <w:numId w:val="3"/>
        </w:numPr>
        <w:spacing w:after="120"/>
      </w:pPr>
      <w:r>
        <w:t xml:space="preserve">The “WA Operations - Participant Solutions” caller - via subpoena to Assist Plan Managers, whose Head of Compliance documented everything contemporaneously.</w:t>
      </w:r>
    </w:p>
    <w:p>
      <w:pPr>
        <w:pStyle w:val="ListParagraph"/>
        <w:numPr>
          <w:ilvl w:val="0"/>
          <w:numId w:val="3"/>
        </w:numPr>
        <w:spacing w:after="120"/>
      </w:pPr>
      <w:r>
        <w:t xml:space="preserve">Post-discontinuance prosecutor correspondence - likely in Vida's yahoo mailbox and the former criminal solicitors' file (neither yet searched; the old finance mailbox is also inaccessible to us).</w:t>
      </w:r>
    </w:p>
    <w:p>
      <w:pPr>
        <w:pStyle w:val="ListParagraph"/>
        <w:numPr>
          <w:ilvl w:val="0"/>
          <w:numId w:val="3"/>
        </w:numPr>
        <w:spacing w:after="120"/>
      </w:pPr>
      <w:r>
        <w:t xml:space="preserve">Quantum: forensic accounting report (revenue run-rate pre-freeze vs post; the E11 figures are the seed). Note the Respondent's own $1.485M claims figure cuts both ways - handle with care.</w:t>
      </w:r>
    </w:p>
    <w:p>
      <w:pPr>
        <w:pStyle w:val="ListParagraph"/>
        <w:numPr>
          <w:ilvl w:val="0"/>
          <w:numId w:val="3"/>
        </w:numPr>
        <w:spacing w:after="120"/>
      </w:pPr>
      <w:r>
        <w:t xml:space="preserve">Company status: confirm FFG and Hybrid Hive remain registered; if not, reinstatement before filing.</w:t>
      </w:r>
    </w:p>
    <w:p>
      <w:pPr>
        <w:pStyle w:val="ListParagraph"/>
        <w:numPr>
          <w:ilvl w:val="0"/>
          <w:numId w:val="3"/>
        </w:numPr>
        <w:spacing w:after="120"/>
      </w:pPr>
      <w:r>
        <w:t xml:space="preserve">Pinpoint verifications flagged in Part 6 (E12 internal quotes; E21 paragraph numbers) - the two PDFs need OCR; we can do this immediately.</w:t>
      </w:r>
    </w:p>
    <w:p>
      <w:pPr>
        <w:pStyle w:val="Heading1"/>
        <w:spacing w:after="180" w:before="320"/>
      </w:pPr>
      <w:r>
        <w:t xml:space="preserve">Part 9 - Risks, weaknesses, candour</w:t>
      </w:r>
    </w:p>
    <w:p>
      <w:pPr>
        <w:pStyle w:val="ListParagraph"/>
        <w:numPr>
          <w:ilvl w:val="0"/>
          <w:numId w:val="4"/>
        </w:numPr>
        <w:spacing w:after="120"/>
      </w:pPr>
      <w:r>
        <w:t xml:space="preserve">An adverse-documents list exists (register row 25C in the case file) and must be reviewed by counsel before any affidavit: it includes the applicants' own historical emails that the other side will deploy. The pleading stance throughout is finance-function delegation WITH active oversight gates - never “absent boss”.</w:t>
      </w:r>
    </w:p>
    <w:p>
      <w:pPr>
        <w:pStyle w:val="ListParagraph"/>
        <w:numPr>
          <w:ilvl w:val="0"/>
          <w:numId w:val="4"/>
        </w:numPr>
        <w:spacing w:after="120"/>
      </w:pPr>
      <w:r>
        <w:t xml:space="preserve">The December 2024 near-withdrawal (E19) is double-edged: it proves the Commonwealth's conduct kept the case alive, but reveals Vida almost abandoned it. Whether and how to deploy is counsel's decision.</w:t>
      </w:r>
    </w:p>
    <w:p>
      <w:pPr>
        <w:pStyle w:val="ListParagraph"/>
        <w:numPr>
          <w:ilvl w:val="0"/>
          <w:numId w:val="4"/>
        </w:numPr>
        <w:spacing w:after="120"/>
      </w:pPr>
      <w:r>
        <w:t xml:space="preserve">Misfeasance costs exposure is real: an adverse costs order in the Federal Court would be six figures. The interference and declaration counts exist partly to de-risk the pleading.</w:t>
      </w:r>
    </w:p>
    <w:p>
      <w:pPr>
        <w:pStyle w:val="ListParagraph"/>
        <w:numPr>
          <w:ilvl w:val="0"/>
          <w:numId w:val="4"/>
        </w:numPr>
        <w:spacing w:after="120"/>
      </w:pPr>
      <w:r>
        <w:t xml:space="preserve">Recharge risk is now assessed at 5-10% over 24 months (the stated obstacle was resolved May 2024; two years of access produced nothing) - but a joint tribunal hearing where Vida testifies is the one event that could complete their brief. That is the severance argument in one line.</w:t>
      </w:r>
    </w:p>
    <w:p>
      <w:pPr>
        <w:pStyle w:val="ListParagraph"/>
        <w:numPr>
          <w:ilvl w:val="0"/>
          <w:numId w:val="4"/>
        </w:numPr>
        <w:spacing w:after="120"/>
      </w:pPr>
      <w:r>
        <w:t xml:space="preserve">Standing rules: no concession of any fraud by any applicant or entity; every citation and factual particular re-verified against primary sources before filing; items flagged UNVERIFIED or TO VERIFY in this brief are not to be relied on until cleared; the informal 27 May 2026 “still live” report and the Maloney material are calibration only - not to be pleaded as fact; the tribunal-protected documents (26 July 2024 orders) are not sought through any freedom-of-information channel.</w:t>
      </w:r>
    </w:p>
    <w:p>
      <w:pPr>
        <w:pStyle w:val="Heading1"/>
        <w:spacing w:after="180" w:before="320"/>
      </w:pPr>
      <w:r>
        <w:t xml:space="preserve">Part 10 - Instructions sought</w:t>
      </w:r>
    </w:p>
    <w:p>
      <w:pPr>
        <w:pStyle w:val="ListParagraph"/>
        <w:numPr>
          <w:ilvl w:val="0"/>
          <w:numId w:val="2"/>
        </w:numPr>
        <w:spacing w:after="120"/>
      </w:pPr>
      <w:r>
        <w:t xml:space="preserve">Settle and send now: the property-return demand, the two statement-of-reasons requests, the element-mapped information request (plus Vida's twin), and the six waiting requests from the 26 June program.</w:t>
      </w:r>
    </w:p>
    <w:p>
      <w:pPr>
        <w:pStyle w:val="ListParagraph"/>
        <w:numPr>
          <w:ilvl w:val="0"/>
          <w:numId w:val="2"/>
        </w:numPr>
        <w:spacing w:after="120"/>
      </w:pPr>
      <w:r>
        <w:t xml:space="preserve">Commission the limitation opinion this month (instructions document provided) and confirm the protective filing date.</w:t>
      </w:r>
    </w:p>
    <w:p>
      <w:pPr>
        <w:pStyle w:val="ListParagraph"/>
        <w:numPr>
          <w:ilvl w:val="0"/>
          <w:numId w:val="2"/>
        </w:numPr>
        <w:spacing w:after="120"/>
      </w:pPr>
      <w:r>
        <w:t xml:space="preserve">Confirm company registration status for FFG and Hybrid Hive; advise on reinstatement if needed.</w:t>
      </w:r>
    </w:p>
    <w:p>
      <w:pPr>
        <w:pStyle w:val="ListParagraph"/>
        <w:numPr>
          <w:ilvl w:val="0"/>
          <w:numId w:val="2"/>
        </w:numPr>
        <w:spacing w:after="120"/>
      </w:pPr>
      <w:r>
        <w:t xml:space="preserve">Approve the transcript-to-Tribunal letter (leave to rely on E15 in the reserved severance application) and advise on escalation if the reserved decisions pass mid-July without word.</w:t>
      </w:r>
    </w:p>
    <w:p>
      <w:pPr>
        <w:pStyle w:val="ListParagraph"/>
        <w:numPr>
          <w:ilvl w:val="0"/>
          <w:numId w:val="2"/>
        </w:numPr>
        <w:spacing w:after="120"/>
      </w:pPr>
      <w:r>
        <w:t xml:space="preserve">Advise on the federal pleading structure (Counts 1-3, Count 4 optional), the respondent list, and whether to open the funder conversation.</w:t>
      </w:r>
    </w:p>
    <w:p>
      <w:pPr>
        <w:pStyle w:val="ListParagraph"/>
        <w:numPr>
          <w:ilvl w:val="0"/>
          <w:numId w:val="2"/>
        </w:numPr>
        <w:spacing w:after="120"/>
      </w:pPr>
      <w:r>
        <w:t xml:space="preserve">On the severance ruling landing, whichever way: clear the prosecutors' decision-demand and the verification letter to the government's solicitors for despatch the same week.</w:t>
      </w:r>
    </w:p>
    <w:p>
      <w:pPr>
        <w:spacing w:after="0"/>
      </w:pPr>
    </w:p>
    <w:p>
      <w:pPr>
        <w:spacing w:after="140"/>
      </w:pPr>
      <w:r>
        <w:rPr>
          <w:i/>
          <w:iCs/>
          <w:sz w:val="18"/>
          <w:szCs w:val="18"/>
        </w:rPr>
        <w:t xml:space="preserve">Attachments provided with this brief: Schedule v3 (Commonwealth statements and conduct vs the documented record, 2022-2026); certified transcript 23 Feb 2024 + analysis note; Notice of Compliance Lock extraction; the four drafted letters/requests; counsel instructions for the limitation opinion; Evidence Matrix v3 and the amended substantive case draft (10 June 2026 versions).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5"/>
        <w:szCs w:val="15"/>
      </w:rPr>
      <w:t xml:space="preserve">PRIVILEGED &amp; CONFIDENTIAL - PREPARED FOR THE LEGAL TEAM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440"/>
      </w:pPr>
    </w:lvl>
  </w:abstractNum>
  <w:abstractNum w:abstractNumId="3" w15:restartNumberingAfterBreak="0">
    <w:multiLevelType w:val="hybridMultilevel"/>
    <w:lvl w:ilvl="0" w15:tentative="1">
      <w:start w:val="1"/>
      <w:numFmt w:val="decimal"/>
      <w:lvlText w:val="%1."/>
      <w:lvlJc w:val="left"/>
      <w:pPr>
        <w:ind w:left="440" w:hanging="440"/>
      </w:pPr>
    </w:lvl>
  </w:abstractNum>
  <w:abstractNum w:abstractNumId="4" w15:restartNumberingAfterBreak="0">
    <w:multiLevelType w:val="hybridMultilevel"/>
    <w:lvl w:ilvl="0" w15:tentative="1">
      <w:start w:val="1"/>
      <w:numFmt w:val="decimal"/>
      <w:lvlText w:val="%1."/>
      <w:lvlJc w:val="left"/>
      <w:pPr>
        <w:ind w:left="440" w:hanging="4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4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2026-07-02T05:44:03.144Z</dcterms:created>
  <dcterms:modified xsi:type="dcterms:W3CDTF">2026-07-02T05:44:03.151Z</dcterms:modified>
</cp:coreProperties>
</file>

<file path=docProps/custom.xml><?xml version="1.0" encoding="utf-8"?>
<Properties xmlns="http://schemas.openxmlformats.org/officeDocument/2006/custom-properties" xmlns:vt="http://schemas.openxmlformats.org/officeDocument/2006/docPropsVTypes"/>
</file>