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sz w:val="26"/>
          <w:szCs w:val="26"/>
        </w:rPr>
        <w:t xml:space="preserve">INSTRUCTIONS TO COUNSEL - LIMITATION OPINION</w:t>
      </w:r>
    </w:p>
    <w:p>
      <w:pPr>
        <w:spacing w:after="160"/>
      </w:pPr>
      <w:r>
        <w:rPr>
          <w:i/>
          <w:iCs/>
          <w:sz w:val="20"/>
          <w:szCs w:val="20"/>
        </w:rPr>
        <w:t xml:space="preserve">Proposed proceeding: Reid &amp; Ors v National Disability Insurance Agency / Commonwealth &amp; Ors (Federal Court) - misfeasance in public office; interference with contractual relations; declaratory relief. Prepared 2 July 2026. Privileged and confidential.</w:t>
      </w:r>
    </w:p>
    <w:p>
      <w:pPr>
        <w:spacing w:after="160" w:before="240"/>
      </w:pPr>
      <w:r>
        <w:rPr>
          <w:b/>
          <w:bCs/>
        </w:rPr>
        <w:t xml:space="preserve">Background (one paragraph)</w:t>
      </w:r>
    </w:p>
    <w:p>
      <w:pPr>
        <w:spacing w:after="160"/>
      </w:pPr>
      <w:r>
        <w:t xml:space="preserve">The prospective applicants operated registered disability service providers (Forward Focused Group Pty Ltd; The Hive; Hybrid Hive Pty Ltd). During 2022 the Agency: placed a compliance lock on claims (on or about 3 May 2022); instructed plan managers that effective immediately no invoices of the companies were to be paid (on or about 4 October 2022 - contemporaneous plan-manager email held); conducted a campaign described internally as a “coordinated provider exit” (mid-late 2022, primary emails held); executed a search and seized property (19 October 2022, reference INV22-080); and provided material to the NDIS Quality and Safeguards Commission, which issued banning orders on 21 December 2022. Criminal charges against Vida Reid were dismissed for want of prosecution on 23 February 2024 with an on-record intention to recharge; no recharge has occurred; the privilege review of seized material concluded 13-14 May 2024. Administrative Review Tribunal proceedings challenging the banning orders are on foot, with a hearing anticipated 2026-27. The intended federal proceeding would follow the Tribunal hearing.</w:t>
      </w:r>
    </w:p>
    <w:p>
      <w:pPr>
        <w:spacing w:after="160" w:before="240"/>
      </w:pPr>
      <w:r>
        <w:rPr>
          <w:b/>
          <w:bCs/>
        </w:rPr>
        <w:t xml:space="preserve">Questions for opinion</w:t>
      </w:r>
    </w:p>
    <w:p>
      <w:pPr>
        <w:pStyle w:val="ListParagraph"/>
        <w:numPr>
          <w:ilvl w:val="0"/>
          <w:numId w:val="2"/>
        </w:numPr>
        <w:spacing w:after="140"/>
      </w:pPr>
      <w:r>
        <w:t xml:space="preserve">For misfeasance in public office against the Commonwealth/Agency and named officers: which limitation statute and period applies (including choice-of-law between Western Australia and any other candidate), and when did each cause of action accrue, having regard to the 3 May 2022 lock, the 4 October 2022 payment instruction, the 2022 exit campaign, and continuing loss thereafter?</w:t>
      </w:r>
    </w:p>
    <w:p>
      <w:pPr>
        <w:pStyle w:val="ListParagraph"/>
        <w:numPr>
          <w:ilvl w:val="0"/>
          <w:numId w:val="2"/>
        </w:numPr>
        <w:spacing w:after="140"/>
      </w:pPr>
      <w:r>
        <w:t xml:space="preserve">Same questions for interference with contractual relations arising from the instruction to plan managers not to pay the companies’ invoices.</w:t>
      </w:r>
    </w:p>
    <w:p>
      <w:pPr>
        <w:pStyle w:val="ListParagraph"/>
        <w:numPr>
          <w:ilvl w:val="0"/>
          <w:numId w:val="2"/>
        </w:numPr>
        <w:spacing w:after="140"/>
      </w:pPr>
      <w:r>
        <w:t xml:space="preserve">Do any postponement, discoverability or concealment doctrines assist, given that the existence, authorship and terms of the freeze and referral were not known to the applicants in 2022 and emerged through releases in 2024-2026?</w:t>
      </w:r>
    </w:p>
    <w:p>
      <w:pPr>
        <w:pStyle w:val="ListParagraph"/>
        <w:numPr>
          <w:ilvl w:val="0"/>
          <w:numId w:val="2"/>
        </w:numPr>
        <w:spacing w:after="140"/>
      </w:pPr>
      <w:r>
        <w:t xml:space="preserve">Is any claim against the Commonwealth subject to additional notice or procedural requirements before suit?</w:t>
      </w:r>
    </w:p>
    <w:p>
      <w:pPr>
        <w:pStyle w:val="ListParagraph"/>
        <w:numPr>
          <w:ilvl w:val="0"/>
          <w:numId w:val="2"/>
        </w:numPr>
        <w:spacing w:after="140"/>
      </w:pPr>
      <w:r>
        <w:t xml:space="preserve">Does the pendency or outcome of the Tribunal proceedings create any estoppel, election or abuse risk for the later federal claim, and conversely can Tribunal findings assist?</w:t>
      </w:r>
    </w:p>
    <w:p>
      <w:pPr>
        <w:pStyle w:val="ListParagraph"/>
        <w:numPr>
          <w:ilvl w:val="0"/>
          <w:numId w:val="2"/>
        </w:numPr>
        <w:spacing w:after="140"/>
      </w:pPr>
      <w:r>
        <w:t xml:space="preserve">Bottom line sought: a recommended protective filing date (a single calendar date), and the minimum pleading content counsel considers necessary to survive a strike-out on the misfeasance count.</w:t>
      </w:r>
    </w:p>
    <w:p>
      <w:pPr>
        <w:spacing w:after="160" w:before="240"/>
      </w:pPr>
      <w:r>
        <w:rPr>
          <w:b/>
          <w:bCs/>
        </w:rPr>
        <w:t xml:space="preserve">Materials provided with these instructions</w:t>
      </w:r>
    </w:p>
    <w:p>
      <w:pPr>
        <w:pStyle w:val="ListParagraph"/>
        <w:numPr>
          <w:ilvl w:val="0"/>
          <w:numId w:val="2"/>
        </w:numPr>
        <w:spacing w:after="140"/>
      </w:pPr>
      <w:r>
        <w:t xml:space="preserve">Certified transcript of 23 February 2024 (discontinuance); analysis note of 2 July 2026; schedule of Commonwealth statements (2 July 2026); the 4 October 2022 plan-manager email; the Halls “coordinated provider exit” chain; the Border Force release FA 24/10/01764; Evidence Matrix v3; draft federal application v3.</w:t>
      </w:r>
    </w:p>
    <w:p>
      <w:pPr>
        <w:spacing w:after="160" w:before="240"/>
      </w:pPr>
      <w:r>
        <w:rPr>
          <w:b/>
          <w:bCs/>
        </w:rPr>
        <w:t xml:space="preserve">Flags</w:t>
      </w:r>
    </w:p>
    <w:p>
      <w:pPr>
        <w:pStyle w:val="ListParagraph"/>
        <w:numPr>
          <w:ilvl w:val="0"/>
          <w:numId w:val="2"/>
        </w:numPr>
        <w:spacing w:after="140"/>
      </w:pPr>
      <w:r>
        <w:t xml:space="preserve">Unverified items are marked in the source documents and must not be assumed: the paragraph pinpoints in the Respondent’s 17 September 2025 and 19 March 2026 documents; the informal 27 May 2026 report on the criminal file’s status. The statutory provisions the Agency may claim authorised the freeze (candidates within the National Disability Insurance Scheme Act 2013) have not been verified and are the subject of pending statement-of-reasons requests.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lowerLetter"/>
      <w:lvlText w:val="(%1)"/>
      <w:lvlJc w:val="left"/>
      <w:pPr>
        <w:ind w:left="1020" w:hanging="4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2026-07-02T04:31:34.868Z</dcterms:created>
  <dcterms:modified xsi:type="dcterms:W3CDTF">2026-07-02T04:31:34.868Z</dcterms:modified>
</cp:coreProperties>
</file>

<file path=docProps/custom.xml><?xml version="1.0" encoding="utf-8"?>
<Properties xmlns="http://schemas.openxmlformats.org/officeDocument/2006/custom-properties" xmlns:vt="http://schemas.openxmlformats.org/officeDocument/2006/docPropsVTypes"/>
</file>