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t xml:space="preserve">Vida Reid and Simon Reid</w:t>
      </w:r>
    </w:p>
    <w:p>
      <w:pPr>
        <w:spacing w:after="20"/>
      </w:pPr>
      <w:r>
        <w:t xml:space="preserve">(Simon Reid also as director of Forward Focused Group Pty Ltd and Hybrid Hive Pty Ltd)</w:t>
      </w:r>
    </w:p>
    <w:p>
      <w:pPr>
        <w:spacing w:after="20"/>
      </w:pPr>
      <w:r>
        <w:t xml:space="preserve">[address for service]</w:t>
      </w:r>
    </w:p>
    <w:p>
      <w:pPr>
        <w:spacing w:after="20"/>
      </w:pPr>
      <w:r>
        <w:t xml:space="preserve">[email address]</w:t>
      </w:r>
    </w:p>
    <w:p>
      <w:pPr>
        <w:spacing w:after="0"/>
      </w:pPr>
    </w:p>
    <w:p>
      <w:pPr>
        <w:spacing w:after="160"/>
      </w:pPr>
      <w:r>
        <w:t xml:space="preserve">2 July 2026</w:t>
      </w:r>
    </w:p>
    <w:p>
      <w:pPr>
        <w:spacing w:after="0"/>
      </w:pPr>
    </w:p>
    <w:p>
      <w:pPr>
        <w:spacing w:after="20"/>
      </w:pPr>
      <w:r>
        <w:t xml:space="preserve">General Counsel</w:t>
      </w:r>
    </w:p>
    <w:p>
      <w:pPr>
        <w:spacing w:after="20"/>
      </w:pPr>
      <w:r>
        <w:t xml:space="preserve">National Disability Insurance Agency</w:t>
      </w:r>
    </w:p>
    <w:p>
      <w:pPr>
        <w:spacing w:after="20"/>
      </w:pPr>
      <w:r>
        <w:t xml:space="preserve">GPO Box 700, Canberra ACT 2601</w:t>
      </w:r>
    </w:p>
    <w:p>
      <w:pPr>
        <w:spacing w:after="20"/>
      </w:pPr>
      <w:r>
        <w:t xml:space="preserve">By email: foi@ndis.gov.au (for referral to the appropriate officer)</w:t>
      </w:r>
    </w:p>
    <w:p>
      <w:pPr>
        <w:pBdr>
          <w:bottom w:val="single" w:color="888888" w:sz="4" w:space="4"/>
        </w:pBdr>
        <w:spacing w:after="200" w:before="160"/>
      </w:pPr>
      <w:r>
        <w:rPr>
          <w:b/>
          <w:bCs/>
        </w:rPr>
        <w:t xml:space="preserve">REQUEST No. 1 UNDER SECTION 13 OF THE ADMINISTRATIVE DECISIONS (JUDICIAL REVIEW) ACT 1977 - STATEMENT OF REASONS - THE COMPLIANCE LOCK AND THE CESSATION OF PAYMENTS</w:t>
      </w:r>
    </w:p>
    <w:p>
      <w:pPr>
        <w:spacing w:after="160"/>
      </w:pPr>
      <w:r>
        <w:t xml:space="preserve">Dear General Counsel,</w:t>
      </w:r>
    </w:p>
    <w:p>
      <w:pPr>
        <w:pStyle w:val="ListParagraph"/>
        <w:numPr>
          <w:ilvl w:val="0"/>
          <w:numId w:val="2"/>
        </w:numPr>
        <w:spacing w:after="140"/>
      </w:pPr>
      <w:r>
        <w:t xml:space="preserve">We request, under section 13 of the Administrative Decisions (Judicial Review) Act 1977 (Cth), a written statement setting out the findings on material questions of fact, referring to the evidence or other material on which those findings were based, and giving the reasons for each of the following decisions:</w:t>
      </w:r>
    </w:p>
    <w:p>
      <w:pPr>
        <w:pStyle w:val="ListParagraph"/>
        <w:numPr>
          <w:ilvl w:val="0"/>
          <w:numId w:val="3"/>
        </w:numPr>
        <w:spacing w:after="140"/>
      </w:pPr>
      <w:r>
        <w:t xml:space="preserve">the decision to apply a compliance lock to all future automated payments to Forward Focused Group Pty Ltd, applied on 3 May 2022 and notified by the Notice of Compliance Lock dated 5 May 2022 (provider letter reference 4050074913); and</w:t>
      </w:r>
    </w:p>
    <w:p>
      <w:pPr>
        <w:pStyle w:val="ListParagraph"/>
        <w:numPr>
          <w:ilvl w:val="0"/>
          <w:numId w:val="3"/>
        </w:numPr>
        <w:spacing w:after="140"/>
      </w:pPr>
      <w:r>
        <w:t xml:space="preserve">the materially different decision, made in or about early October 2022, that plan managers and intermediaries were to cease paying all invoices of Forward Focused Group Pty Ltd and The Hive. That decision is evidenced by a contemporaneous email of 4 October 2022 from a plan manager recording an “instruction from NDIA”, conveyed by an Agency team described as “WA Operations - Participant Solutions”, that “[e]ffective immediately, we are not able to pay ALL FFG and The Hive invoices”.</w:t>
      </w:r>
    </w:p>
    <w:p>
      <w:pPr>
        <w:pStyle w:val="ListParagraph"/>
        <w:numPr>
          <w:ilvl w:val="0"/>
          <w:numId w:val="2"/>
        </w:numPr>
        <w:spacing w:after="140"/>
      </w:pPr>
      <w:r>
        <w:t xml:space="preserve">We draw attention to the terms of the Notice itself. It cites no statutory provision. It is signed “NDIA Payment Review Team - Delegate of the Chief Executive Officer”, without identifying any natural person as the delegate. And the measure it records is confined to the manual assessment of Forward Focused Group Pty Ltd’s future payments - it expressly states that it “does not prevent you from submitting payment requests”, and it says nothing about The Hive at all. The decision described in paragraph 1(b) is therefore not the decision recorded in the Notice, and no notice of it was ever given.</w:t>
      </w:r>
    </w:p>
    <w:p>
      <w:pPr>
        <w:pStyle w:val="ListParagraph"/>
        <w:numPr>
          <w:ilvl w:val="0"/>
          <w:numId w:val="2"/>
        </w:numPr>
        <w:spacing w:after="140"/>
      </w:pPr>
      <w:r>
        <w:t xml:space="preserve">Each statement of reasons should identify: the natural person who made the decision and the position they held; the instrument of delegation under which they acted; the statutory provision said to authorise the decision; and, for the paragraph 1(b) decision, the basis on which it extended to The Hive, an entity that had been given no notice of any kind.</w:t>
      </w:r>
    </w:p>
    <w:p>
      <w:pPr>
        <w:pStyle w:val="ListParagraph"/>
        <w:numPr>
          <w:ilvl w:val="0"/>
          <w:numId w:val="2"/>
        </w:numPr>
        <w:spacing w:after="140"/>
      </w:pPr>
      <w:r>
        <w:t xml:space="preserve">Timing. Neither decision was ever notified to us in writing as a decision made by an identified decision-maker under an identified power. The 28-day period in section 13(5) therefore has no operation, and the reasonable-time limb should be assessed from the time we progressively learned - through documents released in 2024-2026 - who conveyed the instructions and in whose name. This request is made within a reasonable time of that knowledge.</w:t>
      </w:r>
    </w:p>
    <w:p>
      <w:pPr>
        <w:pStyle w:val="ListParagraph"/>
        <w:numPr>
          <w:ilvl w:val="0"/>
          <w:numId w:val="2"/>
        </w:numPr>
        <w:spacing w:after="140"/>
      </w:pPr>
      <w:r>
        <w:t xml:space="preserve">If your position is that either decision was not a decision to which the Act applies - for example, because it was not made under an enactment - please say so in writing and identify the power, statutory or otherwise, that the Agency asserts authorised it. If no provision is identified, please confirm that.</w:t>
      </w:r>
    </w:p>
    <w:p>
      <w:pPr>
        <w:pStyle w:val="ListParagraph"/>
        <w:numPr>
          <w:ilvl w:val="0"/>
          <w:numId w:val="2"/>
        </w:numPr>
        <w:spacing w:after="140"/>
      </w:pPr>
      <w:r>
        <w:t xml:space="preserve">We note that if the statement is refused, section 13(5) requires written notice of the refusal and the reason for it within 14 days.</w:t>
      </w:r>
    </w:p>
    <w:p>
      <w:pPr>
        <w:spacing w:after="0"/>
      </w:pPr>
    </w:p>
    <w:p>
      <w:pPr>
        <w:spacing w:after="160"/>
      </w:pPr>
      <w:r>
        <w:t xml:space="preserve">Yours faithfully,</w:t>
      </w:r>
    </w:p>
    <w:p>
      <w:pPr>
        <w:spacing w:after="0"/>
      </w:pPr>
    </w:p>
    <w:p>
      <w:pPr>
        <w:spacing w:after="160"/>
      </w:pPr>
      <w:r>
        <w:t xml:space="preserve">Vida Reid / Simon Reid</w:t>
      </w:r>
    </w:p>
    <w:p>
      <w:pPr>
        <w:pageBreakBefore/>
        <w:spacing w:after="160"/>
      </w:pPr>
      <w:r>
        <w:t xml:space="preserve"/>
      </w:r>
    </w:p>
    <w:p>
      <w:pPr>
        <w:pBdr>
          <w:bottom w:val="single" w:color="888888" w:sz="4" w:space="4"/>
        </w:pBdr>
        <w:spacing w:after="200" w:before="160"/>
      </w:pPr>
      <w:r>
        <w:rPr>
          <w:b/>
          <w:bCs/>
        </w:rPr>
        <w:t xml:space="preserve">REQUEST No. 2 UNDER SECTION 13 OF THE ADMINISTRATIVE DECISIONS (JUDICIAL REVIEW) ACT 1977 - STATEMENT OF REASONS - THE REFERRAL TO THE COMMISSION</w:t>
      </w:r>
    </w:p>
    <w:p>
      <w:pPr>
        <w:spacing w:after="160"/>
      </w:pPr>
      <w:r>
        <w:t xml:space="preserve">Dear General Counsel,</w:t>
      </w:r>
    </w:p>
    <w:p>
      <w:pPr>
        <w:pStyle w:val="ListParagraph"/>
        <w:numPr>
          <w:ilvl w:val="0"/>
          <w:numId w:val="4"/>
        </w:numPr>
        <w:spacing w:after="140"/>
      </w:pPr>
      <w:r>
        <w:t xml:space="preserve">We request, under section 13 of the Administrative Decisions (Judicial Review) Act 1977 (Cth), a written statement of the findings, evidence and reasons for the decision, made in or about 2022, to refer the applicants to, or to provide investigative material and recommendations concerning the applicants to, the NDIS Quality and Safeguards Commission for regulatory action.</w:t>
      </w:r>
    </w:p>
    <w:p>
      <w:pPr>
        <w:pStyle w:val="ListParagraph"/>
        <w:numPr>
          <w:ilvl w:val="0"/>
          <w:numId w:val="4"/>
        </w:numPr>
        <w:spacing w:after="140"/>
      </w:pPr>
      <w:r>
        <w:t xml:space="preserve">That decision is evidenced by, among other things, the banning decisions of 21 December 2022 having been made substantially on Agency-sourced material, and by contemporaneous Agency correspondence during 2022 describing a “coordinated provider exit” and engagement with Commission officers concerning the applicants.</w:t>
      </w:r>
    </w:p>
    <w:p>
      <w:pPr>
        <w:pStyle w:val="ListParagraph"/>
        <w:numPr>
          <w:ilvl w:val="0"/>
          <w:numId w:val="4"/>
        </w:numPr>
        <w:spacing w:after="140"/>
      </w:pPr>
      <w:r>
        <w:t xml:space="preserve">Timing. The referral decision was never notified to us in writing. The observations in Request No. 1 as to section 13(5) apply equally here: the reasonable-time limb should run from our progressive discovery of the referral’s existence and content through releases in 2024-2026.</w:t>
      </w:r>
    </w:p>
    <w:p>
      <w:pPr>
        <w:pStyle w:val="ListParagraph"/>
        <w:numPr>
          <w:ilvl w:val="0"/>
          <w:numId w:val="4"/>
        </w:numPr>
        <w:spacing w:after="140"/>
      </w:pPr>
      <w:r>
        <w:t xml:space="preserve">If your position is that the referral was not a decision to which the Act applies, please say so in writing and identify the power under which the Agency provided the material and recommendations it provided. If the position is that no discrete decision was made, please confirm that, and identify the officer(s) who caused the material to be provided.</w:t>
      </w:r>
    </w:p>
    <w:p>
      <w:pPr>
        <w:pStyle w:val="ListParagraph"/>
        <w:numPr>
          <w:ilvl w:val="0"/>
          <w:numId w:val="4"/>
        </w:numPr>
        <w:spacing w:after="140"/>
      </w:pPr>
      <w:r>
        <w:t xml:space="preserve">We note the 14-day written-notice requirement in section 13(5) in the event of refusal.</w:t>
      </w:r>
    </w:p>
    <w:p>
      <w:pPr>
        <w:spacing w:after="0"/>
      </w:pPr>
    </w:p>
    <w:p>
      <w:pPr>
        <w:spacing w:after="160"/>
      </w:pPr>
      <w:r>
        <w:t xml:space="preserve">Yours faithfully,</w:t>
      </w:r>
    </w:p>
    <w:p>
      <w:pPr>
        <w:spacing w:after="0"/>
      </w:pPr>
    </w:p>
    <w:p>
      <w:pPr>
        <w:spacing w:after="160"/>
      </w:pPr>
      <w:r>
        <w:t xml:space="preserve">Vida Reid / Simon Reid</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DRAFT - for review by your solicitor before sending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lowerLetter"/>
      <w:lvlText w:val="(%1)"/>
      <w:lvlJc w:val="left"/>
      <w:pPr>
        <w:ind w:left="1020" w:hanging="460"/>
      </w:pPr>
    </w:lvl>
  </w:abstractNum>
  <w:abstractNum w:abstractNumId="4" w15:restartNumberingAfterBreak="0">
    <w:multiLevelType w:val="hybridMultilevel"/>
    <w:lvl w:ilvl="0" w15:tentative="1">
      <w:start w:val="1"/>
      <w:numFmt w:val="decimal"/>
      <w:lvlText w:val="%1."/>
      <w:lvlJc w:val="left"/>
      <w:pPr>
        <w:ind w:left="460" w:hanging="460"/>
      </w:pPr>
    </w:lvl>
  </w:abstractNum>
  <w:abstractNum w:abstractNumId="5" w15:restartNumberingAfterBreak="0">
    <w:multiLevelType w:val="hybridMultilevel"/>
    <w:lvl w:ilvl="0" w15:tentative="1">
      <w:start w:val="1"/>
      <w:numFmt w:val="lowerLetter"/>
      <w:lvlText w:val="(%1)"/>
      <w:lvlJc w:val="left"/>
      <w:pPr>
        <w:ind w:left="102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2026-07-02T04:43:13.619Z</dcterms:created>
  <dcterms:modified xsi:type="dcterms:W3CDTF">2026-07-02T04:43:13.619Z</dcterms:modified>
</cp:coreProperties>
</file>

<file path=docProps/custom.xml><?xml version="1.0" encoding="utf-8"?>
<Properties xmlns="http://schemas.openxmlformats.org/officeDocument/2006/custom-properties" xmlns:vt="http://schemas.openxmlformats.org/officeDocument/2006/docPropsVTypes"/>
</file>