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sz w:val="22"/>
          <w:szCs w:val="22"/>
        </w:rPr>
        <w:t xml:space="preserve">SCHEDULE - COMMONWEALTH STATEMENTS ON THE STATUS OF THE CRIMINAL MATTER vs THE DOCUMENTED RECORD</w:t>
      </w:r>
    </w:p>
    <w:p>
      <w:pPr>
        <w:spacing w:after="160"/>
      </w:pPr>
      <w:r>
        <w:rPr>
          <w:i/>
          <w:iCs/>
          <w:color w:val="666666"/>
          <w:sz w:val="16"/>
          <w:szCs w:val="16"/>
        </w:rPr>
        <w:t xml:space="preserve">Working draft, 2 July 2026 (updated same day with the verified privilege-review timeline) - for counsel review. Rows marked TO BE VERIFIED or UNVERIFIED must be confirmed against primary sources before filing or service. Prepared in support of: severance/sequencing; response to the non-disclosure application; the verification letter to the government’s solicitors; the prosecutors’ decision-demand.</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1300"/>
        <w:gridCol w:w="2450"/>
        <w:gridCol w:w="4600"/>
        <w:gridCol w:w="4600"/>
        <w:gridCol w:w="2448"/>
      </w:tblGrid>
      <w:tr>
        <w:tc>
          <w:tcPr>
            <w:tcW w:type="dxa" w:w="1300"/>
            <w:tcBorders>
              <w:top w:val="single" w:color="BBBBBB" w:sz="1"/>
              <w:left w:val="single" w:color="BBBBBB" w:sz="1"/>
              <w:bottom w:val="single" w:color="BBBBBB" w:sz="1"/>
              <w:right w:val="single" w:color="BBBBBB" w:sz="1"/>
            </w:tcBorders>
            <w:shd w:fill="D9D9D9" w:val="clear"/>
            <w:tcMar>
              <w:top w:type="dxa" w:w="60"/>
              <w:left w:type="dxa" w:w="100"/>
              <w:bottom w:type="dxa" w:w="60"/>
              <w:right w:type="dxa" w:w="100"/>
            </w:tcMar>
          </w:tcPr>
          <w:p>
            <w:r>
              <w:rPr>
                <w:b/>
                <w:bCs/>
                <w:sz w:val="16"/>
                <w:szCs w:val="16"/>
              </w:rPr>
              <w:t xml:space="preserve">Date</w:t>
            </w:r>
          </w:p>
        </w:tc>
        <w:tc>
          <w:tcPr>
            <w:tcW w:type="dxa" w:w="2450"/>
            <w:tcBorders>
              <w:top w:val="single" w:color="BBBBBB" w:sz="1"/>
              <w:left w:val="single" w:color="BBBBBB" w:sz="1"/>
              <w:bottom w:val="single" w:color="BBBBBB" w:sz="1"/>
              <w:right w:val="single" w:color="BBBBBB" w:sz="1"/>
            </w:tcBorders>
            <w:shd w:fill="D9D9D9" w:val="clear"/>
            <w:tcMar>
              <w:top w:type="dxa" w:w="60"/>
              <w:left w:type="dxa" w:w="100"/>
              <w:bottom w:type="dxa" w:w="60"/>
              <w:right w:type="dxa" w:w="100"/>
            </w:tcMar>
          </w:tcPr>
          <w:p>
            <w:r>
              <w:rPr>
                <w:b/>
                <w:bCs/>
                <w:sz w:val="16"/>
                <w:szCs w:val="16"/>
              </w:rPr>
              <w:t xml:space="preserve">Actor / forum</w:t>
            </w:r>
          </w:p>
        </w:tc>
        <w:tc>
          <w:tcPr>
            <w:tcW w:type="dxa" w:w="4600"/>
            <w:tcBorders>
              <w:top w:val="single" w:color="BBBBBB" w:sz="1"/>
              <w:left w:val="single" w:color="BBBBBB" w:sz="1"/>
              <w:bottom w:val="single" w:color="BBBBBB" w:sz="1"/>
              <w:right w:val="single" w:color="BBBBBB" w:sz="1"/>
            </w:tcBorders>
            <w:shd w:fill="D9D9D9" w:val="clear"/>
            <w:tcMar>
              <w:top w:type="dxa" w:w="60"/>
              <w:left w:type="dxa" w:w="100"/>
              <w:bottom w:type="dxa" w:w="60"/>
              <w:right w:type="dxa" w:w="100"/>
            </w:tcMar>
          </w:tcPr>
          <w:p>
            <w:r>
              <w:rPr>
                <w:b/>
                <w:bCs/>
                <w:sz w:val="16"/>
                <w:szCs w:val="16"/>
              </w:rPr>
              <w:t xml:space="preserve">Statement or conduct</w:t>
            </w:r>
          </w:p>
        </w:tc>
        <w:tc>
          <w:tcPr>
            <w:tcW w:type="dxa" w:w="4600"/>
            <w:tcBorders>
              <w:top w:val="single" w:color="BBBBBB" w:sz="1"/>
              <w:left w:val="single" w:color="BBBBBB" w:sz="1"/>
              <w:bottom w:val="single" w:color="BBBBBB" w:sz="1"/>
              <w:right w:val="single" w:color="BBBBBB" w:sz="1"/>
            </w:tcBorders>
            <w:shd w:fill="D9D9D9" w:val="clear"/>
            <w:tcMar>
              <w:top w:type="dxa" w:w="60"/>
              <w:left w:type="dxa" w:w="100"/>
              <w:bottom w:type="dxa" w:w="60"/>
              <w:right w:type="dxa" w:w="100"/>
            </w:tcMar>
          </w:tcPr>
          <w:p>
            <w:r>
              <w:rPr>
                <w:b/>
                <w:bCs/>
                <w:sz w:val="16"/>
                <w:szCs w:val="16"/>
              </w:rPr>
              <w:t xml:space="preserve">Documented reality / tension</w:t>
            </w:r>
          </w:p>
        </w:tc>
        <w:tc>
          <w:tcPr>
            <w:tcW w:type="dxa" w:w="2448"/>
            <w:tcBorders>
              <w:top w:val="single" w:color="BBBBBB" w:sz="1"/>
              <w:left w:val="single" w:color="BBBBBB" w:sz="1"/>
              <w:bottom w:val="single" w:color="BBBBBB" w:sz="1"/>
              <w:right w:val="single" w:color="BBBBBB" w:sz="1"/>
            </w:tcBorders>
            <w:shd w:fill="D9D9D9" w:val="clear"/>
            <w:tcMar>
              <w:top w:type="dxa" w:w="60"/>
              <w:left w:type="dxa" w:w="100"/>
              <w:bottom w:type="dxa" w:w="60"/>
              <w:right w:type="dxa" w:w="100"/>
            </w:tcMar>
          </w:tcPr>
          <w:p>
            <w:r>
              <w:rPr>
                <w:b/>
                <w:bCs/>
                <w:sz w:val="16"/>
                <w:szCs w:val="16"/>
              </w:rPr>
              <w:t xml:space="preserve">Source &amp; verification</w:t>
            </w:r>
          </w:p>
        </w:tc>
      </w:tr>
      <w:tr>
        <w:tc>
          <w:tcPr>
            <w:tcW w:type="dxa" w:w="13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6"/>
                <w:szCs w:val="16"/>
              </w:rPr>
              <w:t xml:space="preserve">23 Feb 2024</w:t>
            </w:r>
          </w:p>
        </w:tc>
        <w:tc>
          <w:tcPr>
            <w:tcW w:type="dxa" w:w="245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6"/>
                <w:szCs w:val="16"/>
              </w:rPr>
              <w:t xml:space="preserve">Commonwealth prosecutors (Rosaji, then Stynes), Magistrates Court of WA</w:t>
            </w:r>
          </w:p>
        </w:tc>
        <w:tc>
          <w:tcPr>
            <w:tcW w:type="dxa" w:w="4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6"/>
                <w:szCs w:val="16"/>
              </w:rPr>
              <w:t xml:space="preserve">Sought dismissal of PE 45655-45658/2022 “so they can be commenced at a later date”; court confirmed “an intention to recharge”; reasons: committal brief incomplete after ~15 months, disclosure outstanding, privilege review of six devices unresolved; no evidence ever adduced.</w:t>
            </w:r>
          </w:p>
        </w:tc>
        <w:tc>
          <w:tcPr>
            <w:tcW w:type="dxa" w:w="4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6"/>
                <w:szCs w:val="16"/>
              </w:rPr>
              <w:t xml:space="preserve">Charges dismissed for want of prosecution (s 25 Criminal Procedure Act (WA)); Vida Reid formally discharged. Jeopardy expressly preserved on the record, twice.</w:t>
            </w:r>
          </w:p>
        </w:tc>
        <w:tc>
          <w:tcPr>
            <w:tcW w:type="dxa" w:w="244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6"/>
                <w:szCs w:val="16"/>
              </w:rPr>
              <w:t xml:space="preserve">Certified transcript pp 2, 4-6 (certified 19 Apr 2024). VERIFIED (primary).</w:t>
            </w:r>
          </w:p>
        </w:tc>
      </w:tr>
      <w:tr>
        <w:tc>
          <w:tcPr>
            <w:tcW w:type="dxa" w:w="13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6"/>
                <w:szCs w:val="16"/>
              </w:rPr>
              <w:t xml:space="preserve">28 Feb 2024</w:t>
            </w:r>
          </w:p>
        </w:tc>
        <w:tc>
          <w:tcPr>
            <w:tcW w:type="dxa" w:w="245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6"/>
                <w:szCs w:val="16"/>
              </w:rPr>
              <w:t xml:space="preserve">Australian Government Solicitor for the Commission (Dickinson), Tribunal - submissions in reply (stay)</w:t>
            </w:r>
          </w:p>
        </w:tc>
        <w:tc>
          <w:tcPr>
            <w:tcW w:type="dxa" w:w="4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6"/>
                <w:szCs w:val="16"/>
              </w:rPr>
              <w:t xml:space="preserve">Vida “appeared … for a mention hearing on 23 February 2024”; proceedings “have not progressed”; stay sought until “the concurrent criminal proceedings or any future criminal proceedings … has been determined.” Also ¶6: no brief of evidence re Simon Reid has been sent to the prosecutors.</w:t>
            </w:r>
          </w:p>
        </w:tc>
        <w:tc>
          <w:tcPr>
            <w:tcW w:type="dxa" w:w="4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6"/>
                <w:szCs w:val="16"/>
              </w:rPr>
              <w:t xml:space="preserve">The 23 Feb 2024 hearing was the discontinuance. No criminal proceedings existed as at 28 Feb 2024. “Concurrent” proceedings were relied on to seek a stay five days after they ended.</w:t>
            </w:r>
          </w:p>
        </w:tc>
        <w:tc>
          <w:tcPr>
            <w:tcW w:type="dxa" w:w="244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6"/>
                <w:szCs w:val="16"/>
              </w:rPr>
              <w:t xml:space="preserve">Respondent’s Submissions in Reply - Stay, 28 Feb 2024 (folder copy). VERIFIED (text-searched 2 Jul 2026).</w:t>
            </w:r>
          </w:p>
        </w:tc>
      </w:tr>
      <w:tr>
        <w:tc>
          <w:tcPr>
            <w:tcW w:type="dxa" w:w="13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6"/>
                <w:szCs w:val="16"/>
              </w:rPr>
              <w:t xml:space="preserve">Nov 2023 - May 2024</w:t>
            </w:r>
          </w:p>
        </w:tc>
        <w:tc>
          <w:tcPr>
            <w:tcW w:type="dxa" w:w="245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6"/>
                <w:szCs w:val="16"/>
              </w:rPr>
              <w:t xml:space="preserve">Bennett (the Reids’ solicitors) / Australian Government Solicitor (acting for the National Disability Insurance Agency) / McGrathNicol (platform host)</w:t>
            </w:r>
          </w:p>
        </w:tc>
        <w:tc>
          <w:tcPr>
            <w:tcW w:type="dxa" w:w="4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6"/>
                <w:szCs w:val="16"/>
              </w:rPr>
              <w:t xml:space="preserve">Privilege review of the seized material under an agreed protocol: revised protocol proposed by the government 28 Nov 2023; costs/timing proposal accepted by Bennett 8 Jan 2024; review commenced 12 Jan 2024 on a McGrathNicol-hosted platform; finalised privilege schedule delivered to the Australian Government Solicitor 13 May 2024; confirmed 14 May 2024 that no privilege claims would be made over audio/media files.</w:t>
            </w:r>
          </w:p>
        </w:tc>
        <w:tc>
          <w:tcPr>
            <w:tcW w:type="dxa" w:w="4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6"/>
                <w:szCs w:val="16"/>
              </w:rPr>
              <w:t xml:space="preserve">The obstacle cited to the court on 23 Feb 2024 was resolved by mid-May 2024. The Commonwealth has had access to the reviewed material for more than two years without re-charging. The government’s 22 Dec 2023 letter had already flagged a “potential adjournment” of the criminal proceedings - the discontinuance was foreshadowed while the review protocol was being negotiated.</w:t>
            </w:r>
          </w:p>
        </w:tc>
        <w:tc>
          <w:tcPr>
            <w:tcW w:type="dxa" w:w="244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6"/>
                <w:szCs w:val="16"/>
              </w:rPr>
              <w:t xml:space="preserve">Gmail: Bennett (Gina Nofal) correspondence Nov 2023 - Oct 2024, incl. 13 May 2024 “finalised LPP Schedule” email. VERIFIED (contemporaneous emails).</w:t>
            </w:r>
          </w:p>
        </w:tc>
      </w:tr>
      <w:tr>
        <w:tc>
          <w:tcPr>
            <w:tcW w:type="dxa" w:w="13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6"/>
                <w:szCs w:val="16"/>
              </w:rPr>
              <w:t xml:space="preserve">Mar 2024</w:t>
            </w:r>
          </w:p>
        </w:tc>
        <w:tc>
          <w:tcPr>
            <w:tcW w:type="dxa" w:w="245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6"/>
                <w:szCs w:val="16"/>
              </w:rPr>
              <w:t xml:space="preserve">National Disability Insurance Agency - Serious and Complex Non-Compliance team</w:t>
            </w:r>
          </w:p>
        </w:tc>
        <w:tc>
          <w:tcPr>
            <w:tcW w:type="dxa" w:w="4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6"/>
                <w:szCs w:val="16"/>
              </w:rPr>
              <w:t xml:space="preserve">Officers telephoning the company’s former contacts (Modplex/Frank) one month after the discontinuance.</w:t>
            </w:r>
          </w:p>
        </w:tc>
        <w:tc>
          <w:tcPr>
            <w:tcW w:type="dxa" w:w="4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6"/>
                <w:szCs w:val="16"/>
              </w:rPr>
              <w:t xml:space="preserve">Investigative activity continued immediately after the prosecution ended.</w:t>
            </w:r>
          </w:p>
        </w:tc>
        <w:tc>
          <w:tcPr>
            <w:tcW w:type="dxa" w:w="244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6"/>
                <w:szCs w:val="16"/>
              </w:rPr>
              <w:t xml:space="preserve">Gmail records (thread IDs in 10 Jun 2026 memo). VERIFIED (contemporaneous emails).</w:t>
            </w:r>
          </w:p>
        </w:tc>
      </w:tr>
      <w:tr>
        <w:tc>
          <w:tcPr>
            <w:tcW w:type="dxa" w:w="13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6"/>
                <w:szCs w:val="16"/>
              </w:rPr>
              <w:t xml:space="preserve">25 Sep / 4 Oct 2024</w:t>
            </w:r>
          </w:p>
        </w:tc>
        <w:tc>
          <w:tcPr>
            <w:tcW w:type="dxa" w:w="245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6"/>
                <w:szCs w:val="16"/>
              </w:rPr>
              <w:t xml:space="preserve">Australian Border Force</w:t>
            </w:r>
          </w:p>
        </w:tc>
        <w:tc>
          <w:tcPr>
            <w:tcW w:type="dxa" w:w="4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6"/>
                <w:szCs w:val="16"/>
              </w:rPr>
              <w:t xml:space="preserve">Border stop of Vida Reid; released documents record “Law Enforcement interest” and action “on behalf of another agency”; complaint correspondence copied to named prosecution officers (Saville, Stynes).</w:t>
            </w:r>
          </w:p>
        </w:tc>
        <w:tc>
          <w:tcPr>
            <w:tcW w:type="dxa" w:w="4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6"/>
                <w:szCs w:val="16"/>
              </w:rPr>
              <w:t xml:space="preserve">Between the discontinuance and the 11 Mar 2025 assurance, the border system was actioned against Vida for an unnamed agency. Four further devices seized at the airport, prompting fresh privilege complaints.</w:t>
            </w:r>
          </w:p>
        </w:tc>
        <w:tc>
          <w:tcPr>
            <w:tcW w:type="dxa" w:w="244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6"/>
                <w:szCs w:val="16"/>
              </w:rPr>
              <w:t xml:space="preserve">Border Force FOI release FA 24/10/01764 (redaction under review MR26/00947); complaint emails Sep-Oct 2024. VERIFIED (documents in folder and Gmail).</w:t>
            </w:r>
          </w:p>
        </w:tc>
      </w:tr>
      <w:tr>
        <w:tc>
          <w:tcPr>
            <w:tcW w:type="dxa" w:w="13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6"/>
                <w:szCs w:val="16"/>
              </w:rPr>
              <w:t xml:space="preserve">7-9 Jan 2025</w:t>
            </w:r>
          </w:p>
        </w:tc>
        <w:tc>
          <w:tcPr>
            <w:tcW w:type="dxa" w:w="245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6"/>
                <w:szCs w:val="16"/>
              </w:rPr>
              <w:t xml:space="preserve">NDIS/Agency personnel; Weeks &amp; Co (Vida’s solicitors)</w:t>
            </w:r>
          </w:p>
        </w:tc>
        <w:tc>
          <w:tcPr>
            <w:tcW w:type="dxa" w:w="4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6"/>
                <w:szCs w:val="16"/>
              </w:rPr>
              <w:t xml:space="preserve">Home-visit cluster; solicitors’ contemporaneous words: “It certainly does not look like the investigation has ended.”</w:t>
            </w:r>
          </w:p>
        </w:tc>
        <w:tc>
          <w:tcPr>
            <w:tcW w:type="dxa" w:w="4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6"/>
                <w:szCs w:val="16"/>
              </w:rPr>
              <w:t xml:space="preserve">Third-party professional observation of apparent ongoing investigation ten months after discontinuance.</w:t>
            </w:r>
          </w:p>
        </w:tc>
        <w:tc>
          <w:tcPr>
            <w:tcW w:type="dxa" w:w="244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6"/>
                <w:szCs w:val="16"/>
              </w:rPr>
              <w:t xml:space="preserve">Gmail records Jan 2025. VERIFIED as correspondence; underlying facts to be proved separately. Maloney material NOT to be pleaded as fact.</w:t>
            </w:r>
          </w:p>
        </w:tc>
      </w:tr>
      <w:tr>
        <w:tc>
          <w:tcPr>
            <w:tcW w:type="dxa" w:w="13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6"/>
                <w:szCs w:val="16"/>
              </w:rPr>
              <w:t xml:space="preserve">11 Mar 2025</w:t>
            </w:r>
          </w:p>
        </w:tc>
        <w:tc>
          <w:tcPr>
            <w:tcW w:type="dxa" w:w="245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6"/>
                <w:szCs w:val="16"/>
              </w:rPr>
              <w:t xml:space="preserve">Australian Government Solicitor for the Commission (Dickinson), letter to Tribunal and Mrs Reid</w:t>
            </w:r>
          </w:p>
        </w:tc>
        <w:tc>
          <w:tcPr>
            <w:tcW w:type="dxa" w:w="4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6"/>
                <w:szCs w:val="16"/>
              </w:rPr>
              <w:t xml:space="preserve">“… the Commission has made enquiries with the NDIA and has been informed that there is no current criminal investigation pertaining to Mrs Reid or to FFG.”</w:t>
            </w:r>
          </w:p>
        </w:tc>
        <w:tc>
          <w:tcPr>
            <w:tcW w:type="dxa" w:w="4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6"/>
                <w:szCs w:val="16"/>
              </w:rPr>
              <w:t xml:space="preserve">Three-layer hearsay; the Agency only (not the prosecutors, federal police, taskforce, Border Force or tax office); “criminal investigation” only; Vida &amp; FFG only (not Simon or other entities); “as relayed”; single date. Compatible with ongoing activity outside those limits - and silent on the recorded intention to recharge, never withdrawn. Made by the same office that had itself administered the 2024 privilege review of the criminally seized material.</w:t>
            </w:r>
          </w:p>
        </w:tc>
        <w:tc>
          <w:tcPr>
            <w:tcW w:type="dxa" w:w="244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6"/>
                <w:szCs w:val="16"/>
              </w:rPr>
              <w:t xml:space="preserve">Letter ref 23004627 (folder copies). VERIFIED (exact wording analysed 28 May 2026).</w:t>
            </w:r>
          </w:p>
        </w:tc>
      </w:tr>
      <w:tr>
        <w:tc>
          <w:tcPr>
            <w:tcW w:type="dxa" w:w="13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6"/>
                <w:szCs w:val="16"/>
              </w:rPr>
              <w:t xml:space="preserve">19 Mar 2025</w:t>
            </w:r>
          </w:p>
        </w:tc>
        <w:tc>
          <w:tcPr>
            <w:tcW w:type="dxa" w:w="245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6"/>
                <w:szCs w:val="16"/>
              </w:rPr>
              <w:t xml:space="preserve">Australian Government Solicitor for the Commission, follow-up letter</w:t>
            </w:r>
          </w:p>
        </w:tc>
        <w:tc>
          <w:tcPr>
            <w:tcW w:type="dxa" w:w="4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6"/>
                <w:szCs w:val="16"/>
              </w:rPr>
              <w:t xml:space="preserve">Narrowed further: the 11 March letter “confirmed the NDIA’s position as was relayed to the Commissioner.”</w:t>
            </w:r>
          </w:p>
        </w:tc>
        <w:tc>
          <w:tcPr>
            <w:tcW w:type="dxa" w:w="4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6"/>
                <w:szCs w:val="16"/>
              </w:rPr>
              <w:t xml:space="preserve">The government’s solicitors declined to vouch for the underlying fact; assurance reduced to accuracy of the relaying.</w:t>
            </w:r>
          </w:p>
        </w:tc>
        <w:tc>
          <w:tcPr>
            <w:tcW w:type="dxa" w:w="244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6"/>
                <w:szCs w:val="16"/>
              </w:rPr>
              <w:t xml:space="preserve">Folder copy. VERIFIED.</w:t>
            </w:r>
          </w:p>
        </w:tc>
      </w:tr>
      <w:tr>
        <w:tc>
          <w:tcPr>
            <w:tcW w:type="dxa" w:w="13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6"/>
                <w:szCs w:val="16"/>
              </w:rPr>
              <w:t xml:space="preserve">17 Sep 2025</w:t>
            </w:r>
          </w:p>
        </w:tc>
        <w:tc>
          <w:tcPr>
            <w:tcW w:type="dxa" w:w="245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6"/>
                <w:szCs w:val="16"/>
              </w:rPr>
              <w:t xml:space="preserve">Australian Government Solicitor for the Commission, stay submissions</w:t>
            </w:r>
          </w:p>
        </w:tc>
        <w:tc>
          <w:tcPr>
            <w:tcW w:type="dxa" w:w="4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6"/>
                <w:szCs w:val="16"/>
              </w:rPr>
              <w:t xml:space="preserve">Acknowledged the charges had been dropped (¶47) while resisting the applicants’ procedural positions.</w:t>
            </w:r>
          </w:p>
        </w:tc>
        <w:tc>
          <w:tcPr>
            <w:tcW w:type="dxa" w:w="4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6"/>
                <w:szCs w:val="16"/>
              </w:rPr>
              <w:t xml:space="preserve">Criminal matter deployed as historical when convenient.</w:t>
            </w:r>
          </w:p>
        </w:tc>
        <w:tc>
          <w:tcPr>
            <w:tcW w:type="dxa" w:w="244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6"/>
                <w:szCs w:val="16"/>
              </w:rPr>
              <w:t xml:space="preserve">Folder copy - pinpoint ¶47 TO BE VERIFIED (PDF has no text layer).</w:t>
            </w:r>
          </w:p>
        </w:tc>
      </w:tr>
      <w:tr>
        <w:tc>
          <w:tcPr>
            <w:tcW w:type="dxa" w:w="13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6"/>
                <w:szCs w:val="16"/>
              </w:rPr>
              <w:t xml:space="preserve">19 Mar 2026</w:t>
            </w:r>
          </w:p>
        </w:tc>
        <w:tc>
          <w:tcPr>
            <w:tcW w:type="dxa" w:w="245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6"/>
                <w:szCs w:val="16"/>
              </w:rPr>
              <w:t xml:space="preserve">Australian Government Solicitor for the Commission</w:t>
            </w:r>
          </w:p>
        </w:tc>
        <w:tc>
          <w:tcPr>
            <w:tcW w:type="dxa" w:w="4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6"/>
                <w:szCs w:val="16"/>
              </w:rPr>
              <w:t xml:space="preserve">¶52.1: charges “have been dropped”; ¶8: “no further interlocutory matters” anticipated.</w:t>
            </w:r>
          </w:p>
        </w:tc>
        <w:tc>
          <w:tcPr>
            <w:tcW w:type="dxa" w:w="4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6"/>
                <w:szCs w:val="16"/>
              </w:rPr>
              <w:t xml:space="preserve">Seven weeks later the Respondent filed its non-disclosure application - the further interlocutory matter it said would not come.</w:t>
            </w:r>
          </w:p>
        </w:tc>
        <w:tc>
          <w:tcPr>
            <w:tcW w:type="dxa" w:w="244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6"/>
                <w:szCs w:val="16"/>
              </w:rPr>
              <w:t xml:space="preserve">Folder/record - pinpoints TO BE VERIFIED before filing.</w:t>
            </w:r>
          </w:p>
        </w:tc>
      </w:tr>
      <w:tr>
        <w:tc>
          <w:tcPr>
            <w:tcW w:type="dxa" w:w="13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6"/>
                <w:szCs w:val="16"/>
              </w:rPr>
              <w:t xml:space="preserve">7 May 2026</w:t>
            </w:r>
          </w:p>
        </w:tc>
        <w:tc>
          <w:tcPr>
            <w:tcW w:type="dxa" w:w="245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6"/>
                <w:szCs w:val="16"/>
              </w:rPr>
              <w:t xml:space="preserve">Australian Government Solicitor for the Commission, non-disclosure application + letter</w:t>
            </w:r>
          </w:p>
        </w:tc>
        <w:tc>
          <w:tcPr>
            <w:tcW w:type="dxa" w:w="4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6"/>
                <w:szCs w:val="16"/>
              </w:rPr>
              <w:t xml:space="preserve">Sought non-disclosure orders over investigation-related attachments (O/EC22-002103; G/EC22-002521); withheld Attachment P and A-F+Q on self-assessed relevance.</w:t>
            </w:r>
          </w:p>
        </w:tc>
        <w:tc>
          <w:tcPr>
            <w:tcW w:type="dxa" w:w="4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6"/>
                <w:szCs w:val="16"/>
              </w:rPr>
              <w:t xml:space="preserve">Continued secrecy over “investigation” material by the same party asserting no investigation exists. Secrecy tracks litigation convenience, not any identified sensitivity.</w:t>
            </w:r>
          </w:p>
        </w:tc>
        <w:tc>
          <w:tcPr>
            <w:tcW w:type="dxa" w:w="244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6"/>
                <w:szCs w:val="16"/>
              </w:rPr>
              <w:t xml:space="preserve">Application and 7 May 2026 letter (folder copies). VERIFIED.</w:t>
            </w:r>
          </w:p>
        </w:tc>
      </w:tr>
      <w:tr>
        <w:tc>
          <w:tcPr>
            <w:tcW w:type="dxa" w:w="13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6"/>
                <w:szCs w:val="16"/>
              </w:rPr>
              <w:t xml:space="preserve">27 May 2026</w:t>
            </w:r>
          </w:p>
        </w:tc>
        <w:tc>
          <w:tcPr>
            <w:tcW w:type="dxa" w:w="245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6"/>
                <w:szCs w:val="16"/>
              </w:rPr>
              <w:t xml:space="preserve">Informal report; contemporaneous border observation</w:t>
            </w:r>
          </w:p>
        </w:tc>
        <w:tc>
          <w:tcPr>
            <w:tcW w:type="dxa" w:w="4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6"/>
                <w:szCs w:val="16"/>
              </w:rPr>
              <w:t xml:space="preserve">Report that the criminal matter is “still live”; same day, Vida re-entered Australia from Bali without incident.</w:t>
            </w:r>
          </w:p>
        </w:tc>
        <w:tc>
          <w:tcPr>
            <w:tcW w:type="dxa" w:w="4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6"/>
                <w:szCs w:val="16"/>
              </w:rPr>
              <w:t xml:space="preserve">Jointly calibrate lifecycle: no warrants or charges on foot, but matter never communicated as closed. NOT to be pleaded as fact - calibration only.</w:t>
            </w:r>
          </w:p>
        </w:tc>
        <w:tc>
          <w:tcPr>
            <w:tcW w:type="dxa" w:w="244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6"/>
                <w:szCs w:val="16"/>
              </w:rPr>
              <w:t xml:space="preserve">File note 27 May 2026. UNVERIFIED (informal).</w:t>
            </w:r>
          </w:p>
        </w:tc>
      </w:tr>
      <w:tr>
        <w:tc>
          <w:tcPr>
            <w:tcW w:type="dxa" w:w="13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6"/>
                <w:szCs w:val="16"/>
              </w:rPr>
              <w:t xml:space="preserve">23 Feb 2024 - present</w:t>
            </w:r>
          </w:p>
        </w:tc>
        <w:tc>
          <w:tcPr>
            <w:tcW w:type="dxa" w:w="245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6"/>
                <w:szCs w:val="16"/>
              </w:rPr>
              <w:t xml:space="preserve">Commonwealth (all emanations)</w:t>
            </w:r>
          </w:p>
        </w:tc>
        <w:tc>
          <w:tcPr>
            <w:tcW w:type="dxa" w:w="4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6"/>
                <w:szCs w:val="16"/>
              </w:rPr>
              <w:t xml:space="preserve">No communication to Vida Reid, in 28+ months, as to whether the recorded intention to re-charge is maintained or abandoned - notwithstanding that the privilege review concluded in May 2024.</w:t>
            </w:r>
          </w:p>
        </w:tc>
        <w:tc>
          <w:tcPr>
            <w:tcW w:type="dxa" w:w="4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6"/>
                <w:szCs w:val="16"/>
              </w:rPr>
              <w:t xml:space="preserve">The intention and the “no investigation” assurance cannot both have substance: if no investigation exists, the intention is dead and has never been withdrawn in writing; if the intention is live, the assurance was empty. The Commonwealth has never been made to choose.</w:t>
            </w:r>
          </w:p>
        </w:tc>
        <w:tc>
          <w:tcPr>
            <w:tcW w:type="dxa" w:w="244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6"/>
                <w:szCs w:val="16"/>
              </w:rPr>
              <w:t xml:space="preserve">Absence of record - confirmed across mailbox sweeps to 19 May 2026.</w:t>
            </w:r>
          </w:p>
        </w:tc>
      </w:tr>
    </w:tbl>
    <w:p>
      <w:pPr>
        <w:spacing w:before="160"/>
      </w:pPr>
      <w:r>
        <w:rPr>
          <w:i/>
          <w:iCs/>
          <w:sz w:val="16"/>
          <w:szCs w:val="16"/>
        </w:rPr>
        <w:t xml:space="preserve">The election this schedule forces: (A) if there is no investigation and no maintained intention to re-charge, the Commonwealth can say so in writing - the criminal limb closes, and the protective rationale for the ongoing administrative orders and the non-disclosure claims collapses; or (B) if the investigation or intention is live, the 11 March 2025 assurance was empty as given, Vida Reid’s preserved jeopardy is confirmed on the Commonwealth’s own records, and her matters cannot fairly be heard jointly; or (C) silence - which is itself a fact the Tribunal can be asked to weigh. Each limb advances the applicants’ position; no limb assists the Respondent.</w:t>
      </w:r>
    </w:p>
    <w:sectPr>
      <w:pgSz w:w="16838" w:h="11906" w:orient="landscape"/>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8"/>
        <w:szCs w:val="1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2026-07-02T04:05:49.435Z</dcterms:created>
  <dcterms:modified xsi:type="dcterms:W3CDTF">2026-07-02T04:05:49.436Z</dcterms:modified>
</cp:coreProperties>
</file>

<file path=docProps/custom.xml><?xml version="1.0" encoding="utf-8"?>
<Properties xmlns="http://schemas.openxmlformats.org/officeDocument/2006/custom-properties" xmlns:vt="http://schemas.openxmlformats.org/officeDocument/2006/docPropsVTypes"/>
</file>