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
        <w:jc w:val="center"/>
      </w:pPr>
      <w:r>
        <w:rPr>
          <w:b/>
          <w:bCs/>
        </w:rPr>
        <w:t xml:space="preserve">ANNEXURE C — TARGETED DISCOVERY PLAN</w:t>
      </w:r>
    </w:p>
    <w:p>
      <w:pPr>
        <w:spacing w:after="24"/>
        <w:jc w:val="center"/>
      </w:pPr>
      <w:r>
        <w:rPr>
          <w:b/>
          <w:bCs/>
        </w:rPr>
        <w:t xml:space="preserve">Provider Selection, Reallocation and Conflict Checks</w:t>
      </w:r>
    </w:p>
    <w:p>
      <w:pPr>
        <w:spacing w:after="140"/>
        <w:jc w:val="center"/>
      </w:pPr>
      <w:r>
        <w:rPr>
          <w:i/>
          <w:iCs/>
        </w:rPr>
        <w:t xml:space="preserve">Companion to Reid v NDIA — to support targeted production; not a pleading — 14 June 2026</w:t>
      </w:r>
    </w:p>
    <w:p>
      <w:pPr>
        <w:spacing w:after="120" w:line="276"/>
      </w:pPr>
      <w:r>
        <w:rPr>
          <w:b/>
          <w:bCs/>
        </w:rPr>
        <w:t xml:space="preserve">Purpose and discipline.  </w:t>
      </w:r>
      <w:r>
        <w:t xml:space="preserve">This annexure exists to support requests for production. It does not assert, and must not be read as asserting, corruption, conspiracy, or any proven conflict. Every matter below is framed as a question to be tested by production. The question it puts is deliberately procedural: </w:t>
      </w:r>
      <w:r>
        <w:rPr>
          <w:i/>
          <w:iCs/>
        </w:rPr>
        <w:t xml:space="preserve">what records explain why these replacement providers were selected, and were the required conflict checks done?</w:t>
      </w:r>
      <w:r>
        <w:t xml:space="preserve">  Throughout, </w:t>
      </w:r>
      <w:r>
        <w:rPr>
          <w:b/>
          <w:bCs/>
          <w:color w:val="1F7A1F"/>
          <w:sz w:val="14"/>
          <w:szCs w:val="14"/>
        </w:rPr>
        <w:t xml:space="preserve">[ON THE RECORD]</w:t>
      </w:r>
      <w:r>
        <w:t xml:space="preserve"> marks a matter for which a primary record is held; </w:t>
      </w:r>
      <w:r>
        <w:rPr>
          <w:b/>
          <w:bCs/>
          <w:color w:val="9A6A00"/>
          <w:sz w:val="14"/>
          <w:szCs w:val="14"/>
        </w:rPr>
        <w:t xml:space="preserve">[TO BE TESTED]</w:t>
      </w:r>
      <w:r>
        <w:t xml:space="preserve"> marks a reported matter the applicants seek production to verify or dispel. Personal names are kept to the minimum necessary; participants are referred to by descriptor. Nothing concedes any fraud or wrongdoing by any applicant; the Commission’s case is contested in its entirety.</w:t>
      </w:r>
    </w:p>
    <w:p>
      <w:pPr>
        <w:pStyle w:val="Heading1"/>
      </w:pPr>
      <w:r>
        <w:t xml:space="preserve">A.  The procedural question</w:t>
      </w:r>
    </w:p>
    <w:p>
      <w:pPr>
        <w:spacing w:after="120" w:line="276"/>
      </w:pPr>
      <w:r>
        <w:t xml:space="preserve">Reduced to its least dramatic form, the question for production is simply: </w:t>
      </w:r>
      <w:r>
        <w:rPr>
          <w:b/>
          <w:bCs/>
        </w:rPr>
        <w:t xml:space="preserve">“What records explain why these providers were selected, and were the required conflict checks done?”</w:t>
      </w:r>
      <w:r>
        <w:t xml:space="preserve">  That breaks down into six neutral sub-questions:</w:t>
      </w:r>
    </w:p>
    <w:p>
      <w:pPr>
        <w:pStyle w:val="ListParagraph"/>
        <w:numPr>
          <w:ilvl w:val="0"/>
          <w:numId w:val="2"/>
        </w:numPr>
        <w:spacing w:after="100" w:line="276"/>
      </w:pPr>
      <w:r>
        <w:t xml:space="preserve">Who, within the NDIA, decided that the Third Applicant’s participants should be moved, and to which providers, and on what recorded criteria?</w:t>
      </w:r>
    </w:p>
    <w:p>
      <w:pPr>
        <w:pStyle w:val="ListParagraph"/>
        <w:numPr>
          <w:ilvl w:val="0"/>
          <w:numId w:val="2"/>
        </w:numPr>
        <w:spacing w:after="100" w:line="276"/>
      </w:pPr>
      <w:r>
        <w:t xml:space="preserve">Why these particular providers, given what was (or should have been) known about their own compliance status and their personnel?</w:t>
      </w:r>
    </w:p>
    <w:p>
      <w:pPr>
        <w:pStyle w:val="ListParagraph"/>
        <w:numPr>
          <w:ilvl w:val="0"/>
          <w:numId w:val="2"/>
        </w:numPr>
        <w:spacing w:after="100" w:line="276"/>
      </w:pPr>
      <w:r>
        <w:t xml:space="preserve">What communications passed between NDIA officers and the destination providers (or persons associated with them) before and during the reallocation?</w:t>
      </w:r>
    </w:p>
    <w:p>
      <w:pPr>
        <w:pStyle w:val="ListParagraph"/>
        <w:numPr>
          <w:ilvl w:val="0"/>
          <w:numId w:val="2"/>
        </w:numPr>
        <w:spacing w:after="100" w:line="276"/>
      </w:pPr>
      <w:r>
        <w:t xml:space="preserve">What was the employment or association history, if any, between the relevant NDIA officer and the destination providers — a matter the applicants seek to verify, not assume?</w:t>
      </w:r>
    </w:p>
    <w:p>
      <w:pPr>
        <w:pStyle w:val="ListParagraph"/>
        <w:numPr>
          <w:ilvl w:val="0"/>
          <w:numId w:val="2"/>
        </w:numPr>
        <w:spacing w:after="100" w:line="276"/>
      </w:pPr>
      <w:r>
        <w:t xml:space="preserve">What did the NDIA and the Commission know, at the time, about the destination providers’ own compliance, registration and legal status?</w:t>
      </w:r>
    </w:p>
    <w:p>
      <w:pPr>
        <w:pStyle w:val="ListParagraph"/>
        <w:numPr>
          <w:ilvl w:val="0"/>
          <w:numId w:val="2"/>
        </w:numPr>
        <w:spacing w:after="100" w:line="276"/>
      </w:pPr>
      <w:r>
        <w:t xml:space="preserve">Were the conflict-of-interest checks and declarations required of the decision-maker in fact made?</w:t>
      </w:r>
    </w:p>
    <w:p>
      <w:pPr>
        <w:pStyle w:val="Heading1"/>
      </w:pPr>
      <w:r>
        <w:t xml:space="preserve">B.  Matters to be tested by production</w:t>
      </w:r>
    </w:p>
    <w:p>
      <w:pPr>
        <w:spacing w:after="120" w:line="276"/>
      </w:pPr>
      <w:r>
        <w:t xml:space="preserve">The people and matters the production is directed at. Status reflects only what is presently held, not any conclusion about conduct.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2050"/>
        <w:gridCol w:w="4100"/>
        <w:gridCol w:w="1426"/>
      </w:tblGrid>
      <w:tr>
        <w:trPr>
          <w:tblHeader/>
        </w:trPr>
        <w:tc>
          <w:tcPr>
            <w:tcW w:type="dxa" w:w="1450"/>
            <w:tcBorders>
              <w:top w:val="single" w:color="BFBFBF" w:sz="1"/>
              <w:left w:val="single" w:color="BFBFBF" w:sz="1"/>
              <w:bottom w:val="single" w:color="BFBFBF" w:sz="1"/>
              <w:right w:val="single" w:color="BFBFBF" w:sz="1"/>
            </w:tcBorders>
            <w:shd w:fill="2A3F5F" w:val="clear"/>
            <w:tcMar>
              <w:top w:type="dxa" w:w="55"/>
              <w:left w:type="dxa" w:w="85"/>
              <w:bottom w:type="dxa" w:w="55"/>
              <w:right w:type="dxa" w:w="85"/>
            </w:tcMar>
          </w:tcPr>
          <w:p>
            <w:pPr>
              <w:spacing w:after="0"/>
            </w:pPr>
            <w:r>
              <w:rPr>
                <w:b/>
                <w:bCs/>
                <w:color w:val="FFFFFF"/>
                <w:sz w:val="15"/>
                <w:szCs w:val="15"/>
              </w:rPr>
              <w:t xml:space="preserve">Person</w:t>
            </w:r>
          </w:p>
        </w:tc>
        <w:tc>
          <w:tcPr>
            <w:tcW w:type="dxa" w:w="2050"/>
            <w:tcBorders>
              <w:top w:val="single" w:color="BFBFBF" w:sz="1"/>
              <w:left w:val="single" w:color="BFBFBF" w:sz="1"/>
              <w:bottom w:val="single" w:color="BFBFBF" w:sz="1"/>
              <w:right w:val="single" w:color="BFBFBF" w:sz="1"/>
            </w:tcBorders>
            <w:shd w:fill="2A3F5F" w:val="clear"/>
            <w:tcMar>
              <w:top w:type="dxa" w:w="55"/>
              <w:left w:type="dxa" w:w="85"/>
              <w:bottom w:type="dxa" w:w="55"/>
              <w:right w:type="dxa" w:w="85"/>
            </w:tcMar>
          </w:tcPr>
          <w:p>
            <w:pPr>
              <w:spacing w:after="0"/>
            </w:pPr>
            <w:r>
              <w:rPr>
                <w:b/>
                <w:bCs/>
                <w:color w:val="FFFFFF"/>
                <w:sz w:val="15"/>
                <w:szCs w:val="15"/>
              </w:rPr>
              <w:t xml:space="preserve">Position</w:t>
            </w:r>
          </w:p>
        </w:tc>
        <w:tc>
          <w:tcPr>
            <w:tcW w:type="dxa" w:w="4100"/>
            <w:tcBorders>
              <w:top w:val="single" w:color="BFBFBF" w:sz="1"/>
              <w:left w:val="single" w:color="BFBFBF" w:sz="1"/>
              <w:bottom w:val="single" w:color="BFBFBF" w:sz="1"/>
              <w:right w:val="single" w:color="BFBFBF" w:sz="1"/>
            </w:tcBorders>
            <w:shd w:fill="2A3F5F" w:val="clear"/>
            <w:tcMar>
              <w:top w:type="dxa" w:w="55"/>
              <w:left w:type="dxa" w:w="85"/>
              <w:bottom w:type="dxa" w:w="55"/>
              <w:right w:type="dxa" w:w="85"/>
            </w:tcMar>
          </w:tcPr>
          <w:p>
            <w:pPr>
              <w:spacing w:after="0"/>
            </w:pPr>
            <w:r>
              <w:rPr>
                <w:b/>
                <w:bCs/>
                <w:color w:val="FFFFFF"/>
                <w:sz w:val="15"/>
                <w:szCs w:val="15"/>
              </w:rPr>
              <w:t xml:space="preserve">Matter to be tested by production</w:t>
            </w:r>
          </w:p>
        </w:tc>
        <w:tc>
          <w:tcPr>
            <w:tcW w:type="dxa" w:w="1426"/>
            <w:tcBorders>
              <w:top w:val="single" w:color="BFBFBF" w:sz="1"/>
              <w:left w:val="single" w:color="BFBFBF" w:sz="1"/>
              <w:bottom w:val="single" w:color="BFBFBF" w:sz="1"/>
              <w:right w:val="single" w:color="BFBFBF" w:sz="1"/>
            </w:tcBorders>
            <w:shd w:fill="2A3F5F" w:val="clear"/>
            <w:tcMar>
              <w:top w:type="dxa" w:w="55"/>
              <w:left w:type="dxa" w:w="85"/>
              <w:bottom w:type="dxa" w:w="55"/>
              <w:right w:type="dxa" w:w="85"/>
            </w:tcMar>
          </w:tcPr>
          <w:p>
            <w:pPr>
              <w:spacing w:after="0"/>
            </w:pPr>
            <w:r>
              <w:rPr>
                <w:b/>
                <w:bCs/>
                <w:color w:val="FFFFFF"/>
                <w:sz w:val="15"/>
                <w:szCs w:val="15"/>
              </w:rPr>
              <w:t xml:space="preserve">Status</w:t>
            </w:r>
          </w:p>
        </w:tc>
      </w:tr>
      <w:tr>
        <w:tc>
          <w:tcPr>
            <w:tcW w:type="dxa" w:w="145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NDIA officer (Mr Halls)</w:t>
            </w:r>
          </w:p>
        </w:tc>
        <w:tc>
          <w:tcPr>
            <w:tcW w:type="dxa" w:w="205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Assistant Director, Participant Solutions (WA)</w:t>
            </w:r>
          </w:p>
        </w:tc>
        <w:tc>
          <w:tcPr>
            <w:tcW w:type="dxa" w:w="410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Described on the record as leading a coordinated provider exit; the records of the selection decision are sought</w:t>
            </w:r>
          </w:p>
        </w:tc>
        <w:tc>
          <w:tcPr>
            <w:tcW w:type="dxa" w:w="1426"/>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On the record (role + exit)</w:t>
            </w:r>
          </w:p>
        </w:tc>
      </w:tr>
      <w:tr>
        <w:tc>
          <w:tcPr>
            <w:tcW w:type="dxa" w:w="145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Ms Tear</w:t>
            </w:r>
          </w:p>
        </w:tc>
        <w:tc>
          <w:tcPr>
            <w:tcW w:type="dxa" w:w="205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Director, Diversitas WA</w:t>
            </w:r>
          </w:p>
        </w:tc>
        <w:tc>
          <w:tcPr>
            <w:tcW w:type="dxa" w:w="410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Named by the NDIA as a destination; any prior association with the NDIA officer is reported only and to be verified</w:t>
            </w:r>
          </w:p>
        </w:tc>
        <w:tc>
          <w:tcPr>
            <w:tcW w:type="dxa" w:w="1426"/>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Reallocation on record; association to be tested</w:t>
            </w:r>
          </w:p>
        </w:tc>
      </w:tr>
      <w:tr>
        <w:tc>
          <w:tcPr>
            <w:tcW w:type="dxa" w:w="145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Ms Roberts</w:t>
            </w:r>
          </w:p>
        </w:tc>
        <w:tc>
          <w:tcPr>
            <w:tcW w:type="dxa" w:w="205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Adviser associated with Nurse Assist 24/7</w:t>
            </w:r>
          </w:p>
        </w:tc>
        <w:tc>
          <w:tcPr>
            <w:tcW w:type="dxa" w:w="410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Former FFG Service Manager; an earlier dispute between FFG and Ms Roberts is documented; her present role and any communications are sought</w:t>
            </w:r>
          </w:p>
        </w:tc>
        <w:tc>
          <w:tcPr>
            <w:tcW w:type="dxa" w:w="1426"/>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On the record (former staff + dispute)</w:t>
            </w:r>
          </w:p>
        </w:tc>
      </w:tr>
      <w:tr>
        <w:tc>
          <w:tcPr>
            <w:tcW w:type="dxa" w:w="145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Mr Rossouw</w:t>
            </w:r>
          </w:p>
        </w:tc>
        <w:tc>
          <w:tcPr>
            <w:tcW w:type="dxa" w:w="205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Associate of Ms Roberts</w:t>
            </w:r>
          </w:p>
        </w:tc>
        <w:tc>
          <w:tcPr>
            <w:tcW w:type="dxa" w:w="410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Provided information used in the Commission process (statement on file); the provenance/independence of that material is to be tested</w:t>
            </w:r>
          </w:p>
        </w:tc>
        <w:tc>
          <w:tcPr>
            <w:tcW w:type="dxa" w:w="1426"/>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On the record (statement); provenance to be tested</w:t>
            </w:r>
          </w:p>
        </w:tc>
      </w:tr>
      <w:tr>
        <w:tc>
          <w:tcPr>
            <w:tcW w:type="dxa" w:w="145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Ms Damon</w:t>
            </w:r>
          </w:p>
        </w:tc>
        <w:tc>
          <w:tcPr>
            <w:tcW w:type="dxa" w:w="205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Associated with Nurse Assist 24/7</w:t>
            </w:r>
          </w:p>
        </w:tc>
        <w:tc>
          <w:tcPr>
            <w:tcW w:type="dxa" w:w="410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Named as associated with a destination provider; identity to be confirmed and distinguished from a similarly-named person at Diversitas</w:t>
            </w:r>
          </w:p>
        </w:tc>
        <w:tc>
          <w:tcPr>
            <w:tcW w:type="dxa" w:w="1426"/>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To be tested (identity)</w:t>
            </w:r>
          </w:p>
        </w:tc>
      </w:tr>
    </w:tbl>
    <w:p>
      <w:pPr>
        <w:spacing w:after="120" w:before="60"/>
      </w:pPr>
      <w:r>
        <w:rPr>
          <w:i/>
          <w:iCs/>
        </w:rPr>
        <w:t xml:space="preserve">Note: a similarly-named individual appears in connection with Diversitas (see §F); the two must be disambiguated before either name is used. Further, less-corroborated leads are quarantined in §G and are not relied upon in this plan.</w:t>
      </w:r>
    </w:p>
    <w:p>
      <w:pPr>
        <w:pStyle w:val="Heading1"/>
      </w:pPr>
      <w:r>
        <w:t xml:space="preserve">C.  The reasonable basis for production</w:t>
      </w:r>
    </w:p>
    <w:p>
      <w:pPr>
        <w:spacing w:after="120" w:line="276"/>
      </w:pPr>
      <w:r>
        <w:t xml:space="preserve">A registrar will ask what reasonable basis supports the requests. The basis is specific and on the record — and is put no higher than that:</w:t>
      </w:r>
    </w:p>
    <w:p>
      <w:pPr>
        <w:pStyle w:val="ListParagraph"/>
        <w:numPr>
          <w:ilvl w:val="0"/>
          <w:numId w:val="3"/>
        </w:numPr>
        <w:spacing w:after="100" w:line="276"/>
      </w:pPr>
      <w:r>
        <w:rPr>
          <w:b/>
          <w:bCs/>
        </w:rPr>
        <w:t xml:space="preserve">NDIA records indicate it named the destination. </w:t>
      </w:r>
      <w:r>
        <w:t xml:space="preserve">The 17 October 2022 email cancels the Third Applicant’s role and identifies a named alternative provider (EM-030).</w:t>
      </w:r>
    </w:p>
    <w:p>
      <w:pPr>
        <w:pStyle w:val="ListParagraph"/>
        <w:numPr>
          <w:ilvl w:val="0"/>
          <w:numId w:val="3"/>
        </w:numPr>
        <w:spacing w:after="100" w:line="276"/>
      </w:pPr>
      <w:r>
        <w:rPr>
          <w:b/>
          <w:bCs/>
        </w:rPr>
        <w:t xml:space="preserve">An officer described his role as leading a provider exit. </w:t>
      </w:r>
      <w:r>
        <w:t xml:space="preserve">The 29 September 2022 email records the officer “leading a coordinated provider exit on behalf of the NDIA” (EM-029).</w:t>
      </w:r>
    </w:p>
    <w:p>
      <w:pPr>
        <w:pStyle w:val="ListParagraph"/>
        <w:numPr>
          <w:ilvl w:val="0"/>
          <w:numId w:val="3"/>
        </w:numPr>
        <w:spacing w:after="100" w:line="276"/>
      </w:pPr>
      <w:r>
        <w:rPr>
          <w:b/>
          <w:bCs/>
        </w:rPr>
        <w:t xml:space="preserve">There appears to be potential personnel overlap. </w:t>
      </w:r>
      <w:r>
        <w:t xml:space="preserve">There appears to be potential overlap between destination-provider personnel and persons whose information was used in the Commission process. The applicants seek production to test whether that overlap affected provider selection, disclosure, or reliance — they do not assert that it did.</w:t>
      </w:r>
    </w:p>
    <w:p>
      <w:pPr>
        <w:pStyle w:val="ListParagraph"/>
        <w:numPr>
          <w:ilvl w:val="0"/>
          <w:numId w:val="3"/>
        </w:numPr>
        <w:spacing w:after="100" w:line="276"/>
      </w:pPr>
      <w:r>
        <w:rPr>
          <w:b/>
          <w:bCs/>
        </w:rPr>
        <w:t xml:space="preserve">A connection was reported by a participant. </w:t>
      </w:r>
      <w:r>
        <w:t xml:space="preserve">A participant reported a claimed connection between a competitor and the NDIA officer — a reported assertion the applicants seek to verify, not to plead as fact (EM-031, EM-032).</w:t>
      </w:r>
    </w:p>
    <w:p>
      <w:pPr>
        <w:pStyle w:val="ListParagraph"/>
        <w:numPr>
          <w:ilvl w:val="0"/>
          <w:numId w:val="3"/>
        </w:numPr>
        <w:spacing w:after="100" w:line="276"/>
      </w:pPr>
      <w:r>
        <w:rPr>
          <w:b/>
          <w:bCs/>
        </w:rPr>
        <w:t xml:space="preserve">The destination may have had its own compliance issues. </w:t>
      </w:r>
      <w:r>
        <w:t xml:space="preserve">There are indications the destination provider had its own compliance/legal issues; the exact entity and records are to be pinned before reliance.</w:t>
      </w:r>
    </w:p>
    <w:p>
      <w:pPr>
        <w:pStyle w:val="Heading1"/>
      </w:pPr>
      <w:r>
        <w:t xml:space="preserve">D.  The production schedule (with the issue each request supports)</w:t>
      </w:r>
    </w:p>
    <w:p>
      <w:pPr>
        <w:spacing w:after="120" w:line="276"/>
      </w:pPr>
      <w:r>
        <w:t xml:space="preserve">Vehicles: ART production (</w:t>
      </w:r>
      <w:r>
        <w:rPr>
          <w:i/>
          <w:iCs/>
        </w:rPr>
        <w:t xml:space="preserve">ART Act</w:t>
      </w:r>
      <w:r>
        <w:t xml:space="preserve"> ss 23–28) and summons (s 74); in the Federal Court, </w:t>
      </w:r>
      <w:r>
        <w:rPr>
          <w:i/>
          <w:iCs/>
        </w:rPr>
        <w:t xml:space="preserve">FCR</w:t>
      </w:r>
      <w:r>
        <w:t xml:space="preserve"> r 7.23 (preliminary), r 20.15 (category) and r 20.23 (non-party). Each request is tied to a pleaded issue so its relevance is plain.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
        <w:gridCol w:w="3050"/>
        <w:gridCol w:w="2200"/>
        <w:gridCol w:w="1250"/>
        <w:gridCol w:w="2166"/>
      </w:tblGrid>
      <w:tr>
        <w:trPr>
          <w:tblHeader/>
        </w:trPr>
        <w:tc>
          <w:tcPr>
            <w:tcW w:type="dxa" w:w="360"/>
            <w:tcBorders>
              <w:top w:val="single" w:color="BFBFBF" w:sz="1"/>
              <w:left w:val="single" w:color="BFBFBF" w:sz="1"/>
              <w:bottom w:val="single" w:color="BFBFBF" w:sz="1"/>
              <w:right w:val="single" w:color="BFBFBF" w:sz="1"/>
            </w:tcBorders>
            <w:shd w:fill="2A3F5F" w:val="clear"/>
            <w:tcMar>
              <w:top w:type="dxa" w:w="55"/>
              <w:left w:type="dxa" w:w="85"/>
              <w:bottom w:type="dxa" w:w="55"/>
              <w:right w:type="dxa" w:w="85"/>
            </w:tcMar>
          </w:tcPr>
          <w:p>
            <w:pPr>
              <w:spacing w:after="0"/>
            </w:pPr>
            <w:r>
              <w:rPr>
                <w:b/>
                <w:bCs/>
                <w:color w:val="FFFFFF"/>
                <w:sz w:val="15"/>
                <w:szCs w:val="15"/>
              </w:rPr>
              <w:t xml:space="preserve">#</w:t>
            </w:r>
          </w:p>
        </w:tc>
        <w:tc>
          <w:tcPr>
            <w:tcW w:type="dxa" w:w="3050"/>
            <w:tcBorders>
              <w:top w:val="single" w:color="BFBFBF" w:sz="1"/>
              <w:left w:val="single" w:color="BFBFBF" w:sz="1"/>
              <w:bottom w:val="single" w:color="BFBFBF" w:sz="1"/>
              <w:right w:val="single" w:color="BFBFBF" w:sz="1"/>
            </w:tcBorders>
            <w:shd w:fill="2A3F5F" w:val="clear"/>
            <w:tcMar>
              <w:top w:type="dxa" w:w="55"/>
              <w:left w:type="dxa" w:w="85"/>
              <w:bottom w:type="dxa" w:w="55"/>
              <w:right w:type="dxa" w:w="85"/>
            </w:tcMar>
          </w:tcPr>
          <w:p>
            <w:pPr>
              <w:spacing w:after="0"/>
            </w:pPr>
            <w:r>
              <w:rPr>
                <w:b/>
                <w:bCs/>
                <w:color w:val="FFFFFF"/>
                <w:sz w:val="15"/>
                <w:szCs w:val="15"/>
              </w:rPr>
              <w:t xml:space="preserve">What to produce</w:t>
            </w:r>
          </w:p>
        </w:tc>
        <w:tc>
          <w:tcPr>
            <w:tcW w:type="dxa" w:w="2200"/>
            <w:tcBorders>
              <w:top w:val="single" w:color="BFBFBF" w:sz="1"/>
              <w:left w:val="single" w:color="BFBFBF" w:sz="1"/>
              <w:bottom w:val="single" w:color="BFBFBF" w:sz="1"/>
              <w:right w:val="single" w:color="BFBFBF" w:sz="1"/>
            </w:tcBorders>
            <w:shd w:fill="2A3F5F" w:val="clear"/>
            <w:tcMar>
              <w:top w:type="dxa" w:w="55"/>
              <w:left w:type="dxa" w:w="85"/>
              <w:bottom w:type="dxa" w:w="55"/>
              <w:right w:type="dxa" w:w="85"/>
            </w:tcMar>
          </w:tcPr>
          <w:p>
            <w:pPr>
              <w:spacing w:after="0"/>
            </w:pPr>
            <w:r>
              <w:rPr>
                <w:b/>
                <w:bCs/>
                <w:color w:val="FFFFFF"/>
                <w:sz w:val="15"/>
                <w:szCs w:val="15"/>
              </w:rPr>
              <w:t xml:space="preserve">Custodian / window</w:t>
            </w:r>
          </w:p>
        </w:tc>
        <w:tc>
          <w:tcPr>
            <w:tcW w:type="dxa" w:w="1250"/>
            <w:tcBorders>
              <w:top w:val="single" w:color="BFBFBF" w:sz="1"/>
              <w:left w:val="single" w:color="BFBFBF" w:sz="1"/>
              <w:bottom w:val="single" w:color="BFBFBF" w:sz="1"/>
              <w:right w:val="single" w:color="BFBFBF" w:sz="1"/>
            </w:tcBorders>
            <w:shd w:fill="2A3F5F" w:val="clear"/>
            <w:tcMar>
              <w:top w:type="dxa" w:w="55"/>
              <w:left w:type="dxa" w:w="85"/>
              <w:bottom w:type="dxa" w:w="55"/>
              <w:right w:type="dxa" w:w="85"/>
            </w:tcMar>
          </w:tcPr>
          <w:p>
            <w:pPr>
              <w:spacing w:after="0"/>
            </w:pPr>
            <w:r>
              <w:rPr>
                <w:b/>
                <w:bCs/>
                <w:color w:val="FFFFFF"/>
                <w:sz w:val="15"/>
                <w:szCs w:val="15"/>
              </w:rPr>
              <w:t xml:space="preserve">Vehicle</w:t>
            </w:r>
          </w:p>
        </w:tc>
        <w:tc>
          <w:tcPr>
            <w:tcW w:type="dxa" w:w="2166"/>
            <w:tcBorders>
              <w:top w:val="single" w:color="BFBFBF" w:sz="1"/>
              <w:left w:val="single" w:color="BFBFBF" w:sz="1"/>
              <w:bottom w:val="single" w:color="BFBFBF" w:sz="1"/>
              <w:right w:val="single" w:color="BFBFBF" w:sz="1"/>
            </w:tcBorders>
            <w:shd w:fill="2A3F5F" w:val="clear"/>
            <w:tcMar>
              <w:top w:type="dxa" w:w="55"/>
              <w:left w:type="dxa" w:w="85"/>
              <w:bottom w:type="dxa" w:w="55"/>
              <w:right w:type="dxa" w:w="85"/>
            </w:tcMar>
          </w:tcPr>
          <w:p>
            <w:pPr>
              <w:spacing w:after="0"/>
            </w:pPr>
            <w:r>
              <w:rPr>
                <w:b/>
                <w:bCs/>
                <w:color w:val="FFFFFF"/>
                <w:sz w:val="15"/>
                <w:szCs w:val="15"/>
              </w:rPr>
              <w:t xml:space="preserve">Issue it supports</w:t>
            </w:r>
          </w:p>
        </w:tc>
      </w:tr>
      <w:tr>
        <w:tc>
          <w:tcPr>
            <w:tcW w:type="dxa" w:w="36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1</w:t>
            </w:r>
          </w:p>
        </w:tc>
        <w:tc>
          <w:tcPr>
            <w:tcW w:type="dxa" w:w="305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Provider-selection and reallocation decision records: which participant moved to which provider, and the recorded reasons / criteria</w:t>
            </w:r>
          </w:p>
        </w:tc>
        <w:tc>
          <w:tcPr>
            <w:tcW w:type="dxa" w:w="220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NDIA WA Operations; Participant Solutions / Aug 2022–Jun 2023</w:t>
            </w:r>
          </w:p>
        </w:tc>
        <w:tc>
          <w:tcPr>
            <w:tcW w:type="dxa" w:w="125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r 20.15 / ART s 74</w:t>
            </w:r>
          </w:p>
        </w:tc>
        <w:tc>
          <w:tcPr>
            <w:tcW w:type="dxa" w:w="2166"/>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Improper purpose; want of power</w:t>
            </w:r>
          </w:p>
        </w:tc>
      </w:tr>
      <w:tr>
        <w:tc>
          <w:tcPr>
            <w:tcW w:type="dxa" w:w="36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2</w:t>
            </w:r>
          </w:p>
        </w:tc>
        <w:tc>
          <w:tcPr>
            <w:tcW w:type="dxa" w:w="305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Communications between NDIA officers and the destination providers (or persons associated with them)</w:t>
            </w:r>
          </w:p>
        </w:tc>
        <w:tc>
          <w:tcPr>
            <w:tcW w:type="dxa" w:w="220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NDIA (email, Teams, call notes) / May 2022–Mar 2023</w:t>
            </w:r>
          </w:p>
        </w:tc>
        <w:tc>
          <w:tcPr>
            <w:tcW w:type="dxa" w:w="125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r 20.15; r 20.23</w:t>
            </w:r>
          </w:p>
        </w:tc>
        <w:tc>
          <w:tcPr>
            <w:tcW w:type="dxa" w:w="2166"/>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Purpose; causation; conflict</w:t>
            </w:r>
          </w:p>
        </w:tc>
      </w:tr>
      <w:tr>
        <w:tc>
          <w:tcPr>
            <w:tcW w:type="dxa" w:w="36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3</w:t>
            </w:r>
          </w:p>
        </w:tc>
        <w:tc>
          <w:tcPr>
            <w:tcW w:type="dxa" w:w="305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Employment / association records for the relevant officer and the named provider personnel</w:t>
            </w:r>
          </w:p>
        </w:tc>
        <w:tc>
          <w:tcPr>
            <w:tcW w:type="dxa" w:w="220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NDIA People/HR / 2018–2022</w:t>
            </w:r>
          </w:p>
        </w:tc>
        <w:tc>
          <w:tcPr>
            <w:tcW w:type="dxa" w:w="125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r 20.15 / FOI</w:t>
            </w:r>
          </w:p>
        </w:tc>
        <w:tc>
          <w:tcPr>
            <w:tcW w:type="dxa" w:w="2166"/>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Tests the reported association (purpose)</w:t>
            </w:r>
          </w:p>
        </w:tc>
      </w:tr>
      <w:tr>
        <w:tc>
          <w:tcPr>
            <w:tcW w:type="dxa" w:w="36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4</w:t>
            </w:r>
          </w:p>
        </w:tc>
        <w:tc>
          <w:tcPr>
            <w:tcW w:type="dxa" w:w="305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Conflict-of-interest declarations made (or required and not made) for the selection decision</w:t>
            </w:r>
          </w:p>
        </w:tc>
        <w:tc>
          <w:tcPr>
            <w:tcW w:type="dxa" w:w="220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NDIA integrity / governance / 2022</w:t>
            </w:r>
          </w:p>
        </w:tc>
        <w:tc>
          <w:tcPr>
            <w:tcW w:type="dxa" w:w="125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r 20.15 / FOI</w:t>
            </w:r>
          </w:p>
        </w:tc>
        <w:tc>
          <w:tcPr>
            <w:tcW w:type="dxa" w:w="2166"/>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Procedural fairness; model litigant; misfeasance build</w:t>
            </w:r>
          </w:p>
        </w:tc>
      </w:tr>
      <w:tr>
        <w:tc>
          <w:tcPr>
            <w:tcW w:type="dxa" w:w="36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5</w:t>
            </w:r>
          </w:p>
        </w:tc>
        <w:tc>
          <w:tcPr>
            <w:tcW w:type="dxa" w:w="305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What the NDIA / Commission held on the destination providers’ own compliance, registration and legal status</w:t>
            </w:r>
          </w:p>
        </w:tc>
        <w:tc>
          <w:tcPr>
            <w:tcW w:type="dxa" w:w="220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NDIA; NDIS Commission / 2021–2022</w:t>
            </w:r>
          </w:p>
        </w:tc>
        <w:tc>
          <w:tcPr>
            <w:tcW w:type="dxa" w:w="125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ART s 74 / FOI</w:t>
            </w:r>
          </w:p>
        </w:tc>
        <w:tc>
          <w:tcPr>
            <w:tcW w:type="dxa" w:w="2166"/>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Reasonableness; rebuts the safeguarding defence</w:t>
            </w:r>
          </w:p>
        </w:tc>
      </w:tr>
      <w:tr>
        <w:tc>
          <w:tcPr>
            <w:tcW w:type="dxa" w:w="36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6</w:t>
            </w:r>
          </w:p>
        </w:tc>
        <w:tc>
          <w:tcPr>
            <w:tcW w:type="dxa" w:w="305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Non-party: the destination providers’ onboarding of the exited participants; their NDIA communications; any agreements</w:t>
            </w:r>
          </w:p>
        </w:tc>
        <w:tc>
          <w:tcPr>
            <w:tcW w:type="dxa" w:w="220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Nurse Assist 24/7; Diversitas WA / Aug 2022–Jun 2023</w:t>
            </w:r>
          </w:p>
        </w:tc>
        <w:tc>
          <w:tcPr>
            <w:tcW w:type="dxa" w:w="1250"/>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r 20.23 (non-party)</w:t>
            </w:r>
          </w:p>
        </w:tc>
        <w:tc>
          <w:tcPr>
            <w:tcW w:type="dxa" w:w="2166"/>
            <w:tcBorders>
              <w:top w:val="single" w:color="BFBFBF" w:sz="1"/>
              <w:left w:val="single" w:color="BFBFBF" w:sz="1"/>
              <w:bottom w:val="single" w:color="BFBFBF" w:sz="1"/>
              <w:right w:val="single" w:color="BFBFBF" w:sz="1"/>
            </w:tcBorders>
            <w:shd w:fill="EEF1F6" w:val="clear"/>
            <w:tcMar>
              <w:top w:type="dxa" w:w="55"/>
              <w:left w:type="dxa" w:w="85"/>
              <w:bottom w:type="dxa" w:w="55"/>
              <w:right w:type="dxa" w:w="85"/>
            </w:tcMar>
          </w:tcPr>
          <w:p>
            <w:pPr>
              <w:spacing w:after="0"/>
            </w:pPr>
            <w:r>
              <w:rPr>
                <w:b w:val="false"/>
                <w:bCs w:val="false"/>
                <w:color w:val="000000"/>
                <w:sz w:val="14"/>
                <w:szCs w:val="14"/>
              </w:rPr>
              <w:t xml:space="preserve">Causation; purpose; connection</w:t>
            </w:r>
          </w:p>
        </w:tc>
      </w:tr>
      <w:tr>
        <w:tc>
          <w:tcPr>
            <w:tcW w:type="dxa" w:w="36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7</w:t>
            </w:r>
          </w:p>
        </w:tc>
        <w:tc>
          <w:tcPr>
            <w:tcW w:type="dxa" w:w="305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Provenance of the witness material: the documented FFG–Roberts dispute file; the intake and referral chain for the associated statement</w:t>
            </w:r>
          </w:p>
        </w:tc>
        <w:tc>
          <w:tcPr>
            <w:tcW w:type="dxa" w:w="220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FFG/DFG Legal; Commission intake / Oct 2021–Oct 2022</w:t>
            </w:r>
          </w:p>
        </w:tc>
        <w:tc>
          <w:tcPr>
            <w:tcW w:type="dxa" w:w="1250"/>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Applicants hold + ART production</w:t>
            </w:r>
          </w:p>
        </w:tc>
        <w:tc>
          <w:tcPr>
            <w:tcW w:type="dxa" w:w="2166"/>
            <w:tcBorders>
              <w:top w:val="single" w:color="BFBFBF" w:sz="1"/>
              <w:left w:val="single" w:color="BFBFBF" w:sz="1"/>
              <w:bottom w:val="single" w:color="BFBFBF" w:sz="1"/>
              <w:right w:val="single" w:color="BFBFBF" w:sz="1"/>
            </w:tcBorders>
            <w:shd w:fill="FFFFFF" w:val="clear"/>
            <w:tcMar>
              <w:top w:type="dxa" w:w="55"/>
              <w:left w:type="dxa" w:w="85"/>
              <w:bottom w:type="dxa" w:w="55"/>
              <w:right w:type="dxa" w:w="85"/>
            </w:tcMar>
          </w:tcPr>
          <w:p>
            <w:pPr>
              <w:spacing w:after="0"/>
            </w:pPr>
            <w:r>
              <w:rPr>
                <w:b w:val="false"/>
                <w:bCs w:val="false"/>
                <w:color w:val="000000"/>
                <w:sz w:val="14"/>
                <w:szCs w:val="14"/>
              </w:rPr>
              <w:t xml:space="preserve">Provenance; procedural fairness; reliability of sources</w:t>
            </w:r>
          </w:p>
        </w:tc>
      </w:tr>
    </w:tbl>
    <w:p>
      <w:pPr>
        <w:pStyle w:val="Heading1"/>
      </w:pPr>
      <w:r>
        <w:t xml:space="preserve">E.  Sequencing and preservation</w:t>
      </w:r>
    </w:p>
    <w:p>
      <w:pPr>
        <w:pStyle w:val="ListParagraph"/>
        <w:numPr>
          <w:ilvl w:val="0"/>
          <w:numId w:val="4"/>
        </w:numPr>
        <w:spacing w:after="100" w:line="276"/>
      </w:pPr>
      <w:r>
        <w:rPr>
          <w:b/>
          <w:bCs/>
        </w:rPr>
        <w:t xml:space="preserve">Issue preservation notices now </w:t>
      </w:r>
      <w:r>
        <w:t xml:space="preserve">to the NDIA, the NDIS Commission and (via solicitors) to the destination providers — emails, Teams/chat, call/case notes, CRM and allocation records, audit logs and metadata.</w:t>
      </w:r>
    </w:p>
    <w:p>
      <w:pPr>
        <w:pStyle w:val="ListParagraph"/>
        <w:numPr>
          <w:ilvl w:val="0"/>
          <w:numId w:val="4"/>
        </w:numPr>
        <w:spacing w:after="100" w:line="276"/>
      </w:pPr>
      <w:r>
        <w:rPr>
          <w:b/>
          <w:bCs/>
        </w:rPr>
        <w:t xml:space="preserve">Sequence: </w:t>
      </w:r>
      <w:r>
        <w:t xml:space="preserve">within the ART, serve s 74 production for items 1, 5 and 7; in parallel prepare the s 39B proceeding so r 20.15 and the r 20.23 non-party requests (items 2, 3, 6) can issue once on foot. Move first to discharge or qualify the 26 July 2024 non-disclosure orders.</w:t>
      </w:r>
    </w:p>
    <w:p>
      <w:pPr>
        <w:pStyle w:val="ListParagraph"/>
        <w:numPr>
          <w:ilvl w:val="0"/>
          <w:numId w:val="4"/>
        </w:numPr>
        <w:spacing w:after="100" w:line="276"/>
      </w:pPr>
      <w:r>
        <w:rPr>
          <w:b/>
          <w:bCs/>
        </w:rPr>
        <w:t xml:space="preserve">The proposition under test (put neutrally): </w:t>
      </w:r>
      <w:r>
        <w:t xml:space="preserve">there appears to be potential overlap between destination-provider personnel and persons whose information was used in the Commission process; the applicants seek production to test whether that overlap affected provider selection, disclosure or reliance. It is framed as a question, not a conclusion.</w:t>
      </w:r>
    </w:p>
    <w:p>
      <w:pPr>
        <w:pStyle w:val="Heading1"/>
      </w:pPr>
      <w:r>
        <w:t xml:space="preserve">F.  Discipline and caveats</w:t>
      </w:r>
    </w:p>
    <w:p>
      <w:pPr>
        <w:pStyle w:val="ListParagraph"/>
        <w:numPr>
          <w:ilvl w:val="0"/>
          <w:numId w:val="5"/>
        </w:numPr>
        <w:spacing w:after="100" w:line="276"/>
      </w:pPr>
      <w:r>
        <w:rPr>
          <w:b/>
          <w:bCs/>
        </w:rPr>
        <w:t xml:space="preserve">Frame everything as “to be tested by production.” </w:t>
      </w:r>
      <w:r>
        <w:t xml:space="preserve">No part of this annexure asserts corruption, conspiracy or a proven conflict.</w:t>
      </w:r>
    </w:p>
    <w:p>
      <w:pPr>
        <w:pStyle w:val="ListParagraph"/>
        <w:numPr>
          <w:ilvl w:val="0"/>
          <w:numId w:val="5"/>
        </w:numPr>
        <w:spacing w:after="100" w:line="276"/>
      </w:pPr>
      <w:r>
        <w:rPr>
          <w:b/>
          <w:bCs/>
        </w:rPr>
        <w:t xml:space="preserve">Use “potentially connected destination provider,” not “conflicted competitor.” </w:t>
      </w:r>
      <w:r>
        <w:t xml:space="preserve">“Conflicted” is a conclusion; avoid it until established.</w:t>
      </w:r>
    </w:p>
    <w:p>
      <w:pPr>
        <w:pStyle w:val="ListParagraph"/>
        <w:numPr>
          <w:ilvl w:val="0"/>
          <w:numId w:val="5"/>
        </w:numPr>
        <w:spacing w:after="100" w:line="276"/>
      </w:pPr>
      <w:r>
        <w:rPr>
          <w:b/>
          <w:bCs/>
        </w:rPr>
        <w:t xml:space="preserve">Disambiguate the two similarly-named individuals </w:t>
      </w:r>
      <w:r>
        <w:t xml:space="preserve">(one associated with Nurse Assist, one with Diversitas) before either name is used.</w:t>
      </w:r>
    </w:p>
    <w:p>
      <w:pPr>
        <w:pStyle w:val="ListParagraph"/>
        <w:numPr>
          <w:ilvl w:val="0"/>
          <w:numId w:val="5"/>
        </w:numPr>
        <w:spacing w:after="100" w:line="276"/>
      </w:pPr>
      <w:r>
        <w:rPr>
          <w:b/>
          <w:bCs/>
        </w:rPr>
        <w:t xml:space="preserve">Pin the destination provider’s ABN and exact entity </w:t>
      </w:r>
      <w:r>
        <w:t xml:space="preserve">before relying on any compliance/infringement record against a similarly-named entity.</w:t>
      </w:r>
    </w:p>
    <w:p>
      <w:pPr>
        <w:pStyle w:val="ListParagraph"/>
        <w:numPr>
          <w:ilvl w:val="0"/>
          <w:numId w:val="5"/>
        </w:numPr>
        <w:spacing w:after="100" w:line="276"/>
      </w:pPr>
      <w:r>
        <w:rPr>
          <w:b/>
          <w:bCs/>
        </w:rPr>
        <w:t xml:space="preserve">Frame Ms Roberts’ departure neutrally. </w:t>
      </w:r>
      <w:r>
        <w:t xml:space="preserve">Rely on the documented dispute and the employment record, not on any characterisation of the reason for departure.</w:t>
      </w:r>
    </w:p>
    <w:p>
      <w:pPr>
        <w:pStyle w:val="ListParagraph"/>
        <w:numPr>
          <w:ilvl w:val="0"/>
          <w:numId w:val="5"/>
        </w:numPr>
        <w:spacing w:after="100" w:line="276"/>
      </w:pPr>
      <w:r>
        <w:rPr>
          <w:b/>
          <w:bCs/>
        </w:rPr>
        <w:t xml:space="preserve">The reported officer/competitor association is not pleaded as fact. </w:t>
      </w:r>
      <w:r>
        <w:t xml:space="preserve">It is used only as a reported assertion that item 3 is designed to verify or dispel.</w:t>
      </w:r>
    </w:p>
    <w:p>
      <w:pPr>
        <w:pStyle w:val="ListParagraph"/>
        <w:numPr>
          <w:ilvl w:val="0"/>
          <w:numId w:val="5"/>
        </w:numPr>
        <w:spacing w:after="100" w:line="276"/>
      </w:pPr>
      <w:r>
        <w:rPr>
          <w:b/>
          <w:bCs/>
        </w:rPr>
        <w:t xml:space="preserve">Keep personal names minimal; protect participant PII. </w:t>
      </w:r>
      <w:r>
        <w:t xml:space="preserve">Name only where necessary; use descriptors or initials for participants and vulnerable persons unless counsel directs otherwise.</w:t>
      </w:r>
    </w:p>
    <w:p>
      <w:pPr>
        <w:pStyle w:val="ListParagraph"/>
        <w:numPr>
          <w:ilvl w:val="0"/>
          <w:numId w:val="5"/>
        </w:numPr>
        <w:spacing w:after="100" w:line="276"/>
      </w:pPr>
      <w:r>
        <w:rPr>
          <w:b/>
          <w:bCs/>
        </w:rPr>
        <w:t xml:space="preserve">No fraud conceded. </w:t>
      </w:r>
      <w:r>
        <w:t xml:space="preserve">Nothing here concedes any wrongdoing by any applicant.</w:t>
      </w:r>
    </w:p>
    <w:p>
      <w:pPr>
        <w:pStyle w:val="Heading1"/>
      </w:pPr>
      <w:r>
        <w:t xml:space="preserve">G.  Further leads — not presently relied upon</w:t>
      </w:r>
    </w:p>
    <w:p>
      <w:pPr>
        <w:spacing w:after="120" w:line="276"/>
      </w:pPr>
      <w:r>
        <w:t xml:space="preserve">The following are parked. They are too weak or too hot to sit in the production plan, and must be corroborated by primary evidence before any use. They are recorded only so they are not lost.</w:t>
      </w:r>
    </w:p>
    <w:p>
      <w:pPr>
        <w:pStyle w:val="ListParagraph"/>
        <w:numPr>
          <w:ilvl w:val="0"/>
          <w:numId w:val="6"/>
        </w:numPr>
        <w:spacing w:after="100" w:line="276"/>
      </w:pPr>
      <w:r>
        <w:rPr>
          <w:b/>
          <w:bCs/>
        </w:rPr>
        <w:t xml:space="preserve">The reported officer/competitor “prior association or friendship.” </w:t>
      </w:r>
      <w:r>
        <w:t xml:space="preserve">A reported assertion only; an earlier review noted public profiles did not show shared employment. Resolve via item 3; do not plead.</w:t>
      </w:r>
    </w:p>
    <w:p>
      <w:pPr>
        <w:pStyle w:val="ListParagraph"/>
        <w:numPr>
          <w:ilvl w:val="0"/>
          <w:numId w:val="6"/>
        </w:numPr>
        <w:spacing w:after="100" w:line="276"/>
      </w:pPr>
      <w:r>
        <w:rPr>
          <w:b/>
          <w:bCs/>
        </w:rPr>
        <w:t xml:space="preserve">The Brooke Andrews placement at The Hive. </w:t>
      </w:r>
      <w:r>
        <w:t xml:space="preserve">A single descriptive document; insufficiently corroborated. Hold pending independent corroboration.</w:t>
      </w:r>
    </w:p>
    <w:p>
      <w:pPr>
        <w:pStyle w:val="ListParagraph"/>
        <w:numPr>
          <w:ilvl w:val="0"/>
          <w:numId w:val="6"/>
        </w:numPr>
        <w:spacing w:after="100" w:line="276"/>
      </w:pPr>
      <w:r>
        <w:rPr>
          <w:b/>
          <w:bCs/>
        </w:rPr>
        <w:t xml:space="preserve">The 31 July 2023 “following” report and any other surveillance-style allegations. </w:t>
      </w:r>
      <w:r>
        <w:t xml:space="preserve">Uncorroborated; do not rely on without primary evidence.</w:t>
      </w:r>
    </w:p>
    <w:p>
      <w:pPr>
        <w:pStyle w:val="ListParagraph"/>
        <w:numPr>
          <w:ilvl w:val="0"/>
          <w:numId w:val="6"/>
        </w:numPr>
        <w:spacing w:after="100" w:line="276"/>
      </w:pPr>
      <w:r>
        <w:rPr>
          <w:b/>
          <w:bCs/>
        </w:rPr>
        <w:t xml:space="preserve">Any characterisation of the reason for a former employee’s departure. </w:t>
      </w:r>
      <w:r>
        <w:t xml:space="preserve">Use the documented dispute only; the characterisation is not relied upon.</w:t>
      </w:r>
    </w:p>
    <w:p>
      <w:pPr>
        <w:spacing w:before="160"/>
      </w:pPr>
      <w:r>
        <w:rPr>
          <w:b/>
          <w:bCs/>
        </w:rPr>
        <w:t xml:space="preserve">Dated: </w:t>
      </w:r>
      <w:r>
        <w:t xml:space="preserve">14 June 2026.  Prepared to brief counsel as a discovery annexure; for settling by counsel. Supersedes the earlier “Why Nurse Assist 24/7?” working draft. Read with Reid v NDIA (working draft v3) and Evidence Matrix v3.</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4"/>
        <w:szCs w:val="14"/>
      </w:rPr>
      <w:t xml:space="preserve">Annexure C — Targeted Discovery Plan (Provider Selection) — working memo, 14 June 2026 — not for filing —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6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decimal"/>
      <w:lvlText w:val="%1."/>
      <w:lvlJc w:val="left"/>
      <w:pPr>
        <w:ind w:left="560" w:hanging="360"/>
      </w:pPr>
    </w:lvl>
  </w:abstractNum>
  <w:abstractNum w:abstractNumId="6"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40"/>
      <w:outlineLvl w:val="0"/>
    </w:pPr>
    <w:rPr>
      <w:rFonts w:ascii="Arial" w:cs="Arial" w:eastAsia="Arial" w:hAnsi="Arial"/>
      <w:b/>
      <w:bCs/>
      <w:color w:val="2A3F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2026-06-14T08:21:52.672Z</dcterms:created>
  <dcterms:modified xsi:type="dcterms:W3CDTF">2026-06-14T08:21:52.673Z</dcterms:modified>
</cp:coreProperties>
</file>

<file path=docProps/custom.xml><?xml version="1.0" encoding="utf-8"?>
<Properties xmlns="http://schemas.openxmlformats.org/officeDocument/2006/custom-properties" xmlns:vt="http://schemas.openxmlformats.org/officeDocument/2006/docPropsVTypes"/>
</file>