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4"/>
          <w:szCs w:val="24"/>
        </w:rPr>
        <w:t xml:space="preserve">ADMINISTRATIVE REVIEW TRIBUNAL</w:t>
      </w:r>
    </w:p>
    <w:p>
      <w:pPr>
        <w:spacing w:after="240"/>
        <w:jc w:val="center"/>
      </w:pPr>
      <w:r>
        <w:rPr>
          <w:rFonts w:ascii="Calibri" w:cs="Calibri" w:eastAsia="Calibri" w:hAnsi="Calibri"/>
          <w:sz w:val="22"/>
          <w:szCs w:val="22"/>
        </w:rPr>
        <w:t xml:space="preserve">BRISBANE REGISTRY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Tribunal Numbers:</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2023/3361, 2023/3363 and 2023/4494</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First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VIDA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Second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SIMON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Third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FORWARD FOCUSED GROUP PTY LTD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Respondent: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COMMISSIONER OF THE NDIS QUALITY AND SAFEGUARDS COMMISSION</w:t>
            </w:r>
          </w:p>
        </w:tc>
      </w:tr>
    </w:tbl>
    <w:p>
      <w:pPr>
        <w:spacing w:before="240"/>
        <w:jc w:val="center"/>
      </w:pPr>
      <w:r>
        <w:rPr>
          <w:rFonts w:ascii="Calibri" w:cs="Calibri" w:eastAsia="Calibri" w:hAnsi="Calibri"/>
          <w:b/>
          <w:bCs/>
          <w:sz w:val="24"/>
          <w:szCs w:val="24"/>
        </w:rPr>
        <w:t xml:space="preserve">SECOND APPLICANT'S RESPONSE AND PROPOSED DIRECTIONS</w:t>
      </w:r>
    </w:p>
    <w:p>
      <w:pPr>
        <w:spacing w:after="240"/>
        <w:jc w:val="center"/>
      </w:pPr>
      <w:r>
        <w:rPr>
          <w:rFonts w:ascii="Calibri" w:cs="Calibri" w:eastAsia="Calibri" w:hAnsi="Calibri"/>
          <w:sz w:val="22"/>
          <w:szCs w:val="22"/>
        </w:rPr>
        <w:t xml:space="preserve">in response to the Respondent's proposed timetabling orders served on 14 August 2026</w:t>
      </w:r>
    </w:p>
    <w:p>
      <w:pPr>
        <w:spacing w:after="120" w:before="240"/>
      </w:pPr>
      <w:r>
        <w:rPr>
          <w:rFonts w:ascii="Calibri" w:cs="Calibri" w:eastAsia="Calibri" w:hAnsi="Calibri"/>
          <w:b/>
          <w:bCs/>
          <w:sz w:val="22"/>
          <w:szCs w:val="22"/>
        </w:rPr>
        <w:t xml:space="preserve">A.  Position</w:t>
      </w:r>
    </w:p>
    <w:p>
      <w:pPr>
        <w:tabs>
          <w:tab w:val="left" w:pos="567"/>
        </w:tabs>
        <w:spacing w:after="120" w:line="276"/>
        <w:ind w:left="567" w:hanging="567"/>
        <w:jc w:val="both"/>
      </w:pPr>
      <w:r>
        <w:rPr>
          <w:rFonts w:ascii="Calibri" w:cs="Calibri" w:eastAsia="Calibri" w:hAnsi="Calibri"/>
          <w:sz w:val="22"/>
          <w:szCs w:val="22"/>
        </w:rPr>
        <w:t xml:space="preserve">1.	</w:t>
      </w:r>
      <w:r>
        <w:rPr>
          <w:rFonts w:ascii="Calibri" w:cs="Calibri" w:eastAsia="Calibri" w:hAnsi="Calibri"/>
          <w:sz w:val="22"/>
          <w:szCs w:val="22"/>
        </w:rPr>
        <w:t xml:space="preserve">This response is filed by the Second Applicant, Mr Simon Reid, in matter 2023/3363. It does not state the position of, and does not bind, the First or Third Applicants.</w:t>
      </w:r>
    </w:p>
    <w:p>
      <w:pPr>
        <w:tabs>
          <w:tab w:val="left" w:pos="567"/>
        </w:tabs>
        <w:spacing w:after="120" w:line="276"/>
        <w:ind w:left="567" w:hanging="567"/>
        <w:jc w:val="both"/>
      </w:pPr>
      <w:r>
        <w:rPr>
          <w:rFonts w:ascii="Calibri" w:cs="Calibri" w:eastAsia="Calibri" w:hAnsi="Calibri"/>
          <w:sz w:val="22"/>
          <w:szCs w:val="22"/>
        </w:rPr>
        <w:t xml:space="preserve">2.	</w:t>
      </w:r>
      <w:r>
        <w:rPr>
          <w:rFonts w:ascii="Calibri" w:cs="Calibri" w:eastAsia="Calibri" w:hAnsi="Calibri"/>
          <w:sz w:val="22"/>
          <w:szCs w:val="22"/>
        </w:rPr>
        <w:t xml:space="preserve">The Second Applicant accepts the Tribunal's decision of 31 July 2026 that the three applications remain associated and are to be programmed and heard together. He supports the matters being set down for final hearing, and he agrees with the substance of the steps the Respondent proposes: a supplementary tender bundle, statements of facts, issues and contentions (</w:t>
      </w:r>
      <w:r>
        <w:rPr>
          <w:rFonts w:ascii="Calibri" w:cs="Calibri" w:eastAsia="Calibri" w:hAnsi="Calibri"/>
          <w:i/>
          <w:iCs/>
          <w:sz w:val="22"/>
          <w:szCs w:val="22"/>
        </w:rPr>
        <w:t xml:space="preserve">SFIC</w:t>
      </w:r>
      <w:r>
        <w:rPr>
          <w:rFonts w:ascii="Calibri" w:cs="Calibri" w:eastAsia="Calibri" w:hAnsi="Calibri"/>
          <w:sz w:val="22"/>
          <w:szCs w:val="22"/>
        </w:rPr>
        <w:t xml:space="preserve">) with evidence, and a final hearing. The dates the Respondent proposed have now passed or are imminent, and no orders have been made on them. He asks that the steps be re-dated and sequenced as set out in Part C.</w:t>
      </w:r>
    </w:p>
    <w:p>
      <w:pPr>
        <w:tabs>
          <w:tab w:val="left" w:pos="567"/>
        </w:tabs>
        <w:spacing w:after="120" w:line="276"/>
        <w:ind w:left="567" w:hanging="567"/>
        <w:jc w:val="both"/>
      </w:pPr>
      <w:r>
        <w:rPr>
          <w:rFonts w:ascii="Calibri" w:cs="Calibri" w:eastAsia="Calibri" w:hAnsi="Calibri"/>
          <w:sz w:val="22"/>
          <w:szCs w:val="22"/>
        </w:rPr>
        <w:t xml:space="preserve">3.	</w:t>
      </w:r>
      <w:r>
        <w:rPr>
          <w:rFonts w:ascii="Calibri" w:cs="Calibri" w:eastAsia="Calibri" w:hAnsi="Calibri"/>
          <w:sz w:val="22"/>
          <w:szCs w:val="22"/>
        </w:rPr>
        <w:t xml:space="preserve">Nothing in this response, or omitted from it, is an admission of any fact or contention advanced by the Respondent, and nothing in it waives any privilege.</w:t>
      </w:r>
    </w:p>
    <w:p>
      <w:pPr>
        <w:spacing w:after="120" w:before="240"/>
      </w:pPr>
      <w:r>
        <w:rPr>
          <w:rFonts w:ascii="Calibri" w:cs="Calibri" w:eastAsia="Calibri" w:hAnsi="Calibri"/>
          <w:b/>
          <w:bCs/>
          <w:sz w:val="22"/>
          <w:szCs w:val="22"/>
        </w:rPr>
        <w:t xml:space="preserve">B.  Reasons for the proposed directions</w:t>
      </w:r>
    </w:p>
    <w:p>
      <w:pPr>
        <w:tabs>
          <w:tab w:val="left" w:pos="567"/>
        </w:tabs>
        <w:spacing w:after="120" w:line="276"/>
        <w:ind w:left="567" w:hanging="567"/>
        <w:jc w:val="both"/>
      </w:pPr>
      <w:r>
        <w:rPr>
          <w:rFonts w:ascii="Calibri" w:cs="Calibri" w:eastAsia="Calibri" w:hAnsi="Calibri"/>
          <w:sz w:val="22"/>
          <w:szCs w:val="22"/>
        </w:rPr>
        <w:t xml:space="preserve">4.	</w:t>
      </w:r>
      <w:r>
        <w:rPr>
          <w:rFonts w:ascii="Calibri" w:cs="Calibri" w:eastAsia="Calibri" w:hAnsi="Calibri"/>
          <w:b/>
          <w:bCs/>
          <w:sz w:val="22"/>
          <w:szCs w:val="22"/>
        </w:rPr>
        <w:t xml:space="preserve">Outstanding documents. </w:t>
      </w:r>
      <w:r>
        <w:rPr>
          <w:rFonts w:ascii="Calibri" w:cs="Calibri" w:eastAsia="Calibri" w:hAnsi="Calibri"/>
          <w:sz w:val="22"/>
          <w:szCs w:val="22"/>
        </w:rPr>
        <w:t xml:space="preserve">Two matters stand between the parties and the preparation of evidence. First, the Respondent's application of 7 May 2026 under section 70 of the </w:t>
      </w:r>
      <w:r>
        <w:rPr>
          <w:rFonts w:ascii="Calibri" w:cs="Calibri" w:eastAsia="Calibri" w:hAnsi="Calibri"/>
          <w:i/>
          <w:iCs/>
          <w:sz w:val="22"/>
          <w:szCs w:val="22"/>
        </w:rPr>
        <w:t xml:space="preserve">Administrative Review Tribunal Act 2024</w:t>
      </w:r>
      <w:r>
        <w:rPr>
          <w:rFonts w:ascii="Calibri" w:cs="Calibri" w:eastAsia="Calibri" w:hAnsi="Calibri"/>
          <w:sz w:val="22"/>
          <w:szCs w:val="22"/>
        </w:rPr>
        <w:t xml:space="preserve">, concerning Attachment O to briefing note EC22-002103 and Attachment G to briefing note EC22-002521, has not been determined. The Second Applicant filed submissions opposing it on 19 May 2026. Secondly, the supplementary tender bundle has not been lodged. The Respondent's letter of 7 May 2026 also records that it has not provided Attachments A to G, P and Q to EC22-002103 (on the basis that they concern unrelated companies or are not relevant), or Attachment J to EC22-002103 and to EC22-002521 (relying on the orders of 26 July 2024).</w:t>
      </w:r>
    </w:p>
    <w:p>
      <w:pPr>
        <w:tabs>
          <w:tab w:val="left" w:pos="567"/>
        </w:tabs>
        <w:spacing w:after="120" w:line="276"/>
        <w:ind w:left="567" w:hanging="567"/>
        <w:jc w:val="both"/>
      </w:pPr>
      <w:r>
        <w:rPr>
          <w:rFonts w:ascii="Calibri" w:cs="Calibri" w:eastAsia="Calibri" w:hAnsi="Calibri"/>
          <w:sz w:val="22"/>
          <w:szCs w:val="22"/>
        </w:rPr>
        <w:t xml:space="preserve">5.	</w:t>
      </w:r>
      <w:r>
        <w:rPr>
          <w:rFonts w:ascii="Calibri" w:cs="Calibri" w:eastAsia="Calibri" w:hAnsi="Calibri"/>
          <w:sz w:val="22"/>
          <w:szCs w:val="22"/>
        </w:rPr>
        <w:t xml:space="preserve">Section 23 of the ART Act requires the decision-maker to give the Tribunal every document in its possession or control that is relevant to the review, and section 30 provides that the relevant Subdivision has effect despite any rule of law relating to legal professional privilege. The Second Applicant does not ask that any document be disclosed to him in breach of an existing order. He asks that the withheld documents be before the Tribunal, and that they be described sufficiently for the question of relevance or restriction to be decided by the Tribunal rather than by the Respondent alone.</w:t>
      </w:r>
    </w:p>
    <w:p>
      <w:pPr>
        <w:tabs>
          <w:tab w:val="left" w:pos="567"/>
        </w:tabs>
        <w:spacing w:after="120" w:line="276"/>
        <w:ind w:left="567" w:hanging="567"/>
        <w:jc w:val="both"/>
      </w:pPr>
      <w:r>
        <w:rPr>
          <w:rFonts w:ascii="Calibri" w:cs="Calibri" w:eastAsia="Calibri" w:hAnsi="Calibri"/>
          <w:sz w:val="22"/>
          <w:szCs w:val="22"/>
        </w:rPr>
        <w:t xml:space="preserve">6.	</w:t>
      </w:r>
      <w:r>
        <w:rPr>
          <w:rFonts w:ascii="Calibri" w:cs="Calibri" w:eastAsia="Calibri" w:hAnsi="Calibri"/>
          <w:b/>
          <w:bCs/>
          <w:sz w:val="22"/>
          <w:szCs w:val="22"/>
        </w:rPr>
        <w:t xml:space="preserve">Particulars of the case to be met. </w:t>
      </w:r>
      <w:r>
        <w:rPr>
          <w:rFonts w:ascii="Calibri" w:cs="Calibri" w:eastAsia="Calibri" w:hAnsi="Calibri"/>
          <w:sz w:val="22"/>
          <w:szCs w:val="22"/>
        </w:rPr>
        <w:t xml:space="preserve">The internal review reasons of 21 April 2023 attribute conduct to the Second Applicant principally through his directorship of Hybrid Hive Pty Ltd (at [38]), rely on material summarised at [29] to [31] and [41] to [43], and fix the duration of the order by reference to an ongoing investigation and the regulatory and legal processes then in motion (at [46] to [47]). Before filing his evidence, the Second Applicant needs to know which allegations the Respondent now relies on, against which entity and for which period, and what order it will ask the Tribunal to make. Section 79(2)(b) and (3) of the ART Act allow the Tribunal to require that statement.</w:t>
      </w:r>
    </w:p>
    <w:p>
      <w:pPr>
        <w:tabs>
          <w:tab w:val="left" w:pos="567"/>
        </w:tabs>
        <w:spacing w:after="120" w:line="276"/>
        <w:ind w:left="567" w:hanging="567"/>
        <w:jc w:val="both"/>
      </w:pPr>
      <w:r>
        <w:rPr>
          <w:rFonts w:ascii="Calibri" w:cs="Calibri" w:eastAsia="Calibri" w:hAnsi="Calibri"/>
          <w:sz w:val="22"/>
          <w:szCs w:val="22"/>
        </w:rPr>
        <w:t xml:space="preserve">7.	</w:t>
      </w:r>
      <w:r>
        <w:rPr>
          <w:rFonts w:ascii="Calibri" w:cs="Calibri" w:eastAsia="Calibri" w:hAnsi="Calibri"/>
          <w:b/>
          <w:bCs/>
          <w:sz w:val="22"/>
          <w:szCs w:val="22"/>
        </w:rPr>
        <w:t xml:space="preserve">The form of any order. </w:t>
      </w:r>
      <w:r>
        <w:rPr>
          <w:rFonts w:ascii="Calibri" w:cs="Calibri" w:eastAsia="Calibri" w:hAnsi="Calibri"/>
          <w:sz w:val="22"/>
          <w:szCs w:val="22"/>
        </w:rPr>
        <w:t xml:space="preserve">In </w:t>
      </w:r>
      <w:r>
        <w:rPr>
          <w:rFonts w:ascii="Calibri" w:cs="Calibri" w:eastAsia="Calibri" w:hAnsi="Calibri"/>
          <w:i/>
          <w:iCs/>
          <w:sz w:val="22"/>
          <w:szCs w:val="22"/>
        </w:rPr>
        <w:t xml:space="preserve">Sunflower Care Services Pty Ltd v Commissioner of the NDIS Quality and Safeguards Commission (No 2)</w:t>
      </w:r>
      <w:r>
        <w:rPr>
          <w:rFonts w:ascii="Calibri" w:cs="Calibri" w:eastAsia="Calibri" w:hAnsi="Calibri"/>
          <w:sz w:val="22"/>
          <w:szCs w:val="22"/>
        </w:rPr>
        <w:t xml:space="preserve">, [2025] FCA 1442, the Federal Court held that section 73ZN(2) of the </w:t>
      </w:r>
      <w:r>
        <w:rPr>
          <w:rFonts w:ascii="Calibri" w:cs="Calibri" w:eastAsia="Calibri" w:hAnsi="Calibri"/>
          <w:i/>
          <w:iCs/>
          <w:sz w:val="22"/>
          <w:szCs w:val="22"/>
        </w:rPr>
        <w:t xml:space="preserve">National Disability Insurance Scheme Act 2013</w:t>
      </w:r>
      <w:r>
        <w:rPr>
          <w:rFonts w:ascii="Calibri" w:cs="Calibri" w:eastAsia="Calibri" w:hAnsi="Calibri"/>
          <w:sz w:val="22"/>
          <w:szCs w:val="22"/>
        </w:rPr>
        <w:t xml:space="preserve"> does not authorise an order prohibiting a person from being indirectly involved in specified activities (at [128], [134] and [139]), and that a banning order must express the specified activities in terms reasonably capable of being obeyed (at [131]). The Court also recognised that a clearly specified activity may be restricted even where it only indirectly involves the provision of supports or services (at [134]). The order under review prohibits the Second Applicant from having "any involvement with or in the NDIS sector, in any capacity", including "directly or indirectly". The Second Applicant will address the form of any order in his SFIC and at the final hearing. He asks only that the Respondent state its position in advance, so that the issue can be dealt with efficiently at that hearing.</w:t>
      </w:r>
    </w:p>
    <w:p>
      <w:pPr>
        <w:tabs>
          <w:tab w:val="left" w:pos="567"/>
        </w:tabs>
        <w:spacing w:after="120" w:line="276"/>
        <w:ind w:left="567" w:hanging="567"/>
        <w:jc w:val="both"/>
      </w:pPr>
      <w:r>
        <w:rPr>
          <w:rFonts w:ascii="Calibri" w:cs="Calibri" w:eastAsia="Calibri" w:hAnsi="Calibri"/>
          <w:sz w:val="22"/>
          <w:szCs w:val="22"/>
        </w:rPr>
        <w:t xml:space="preserve">8.	</w:t>
      </w:r>
      <w:r>
        <w:rPr>
          <w:rFonts w:ascii="Calibri" w:cs="Calibri" w:eastAsia="Calibri" w:hAnsi="Calibri"/>
          <w:b/>
          <w:bCs/>
          <w:sz w:val="22"/>
          <w:szCs w:val="22"/>
        </w:rPr>
        <w:t xml:space="preserve">Hearing estimate. </w:t>
      </w:r>
      <w:r>
        <w:rPr>
          <w:rFonts w:ascii="Calibri" w:cs="Calibri" w:eastAsia="Calibri" w:hAnsi="Calibri"/>
          <w:sz w:val="22"/>
          <w:szCs w:val="22"/>
        </w:rPr>
        <w:t xml:space="preserve">The hearing estimate depends on which witnesses the Respondent calls, which statement-makers the applicants seek to cross-examine, and the interpreter arrangements for the First Applicant. The Second Applicant asks that the estimate be fixed once those matters are known.</w:t>
      </w:r>
    </w:p>
    <w:p>
      <w:pPr>
        <w:spacing w:after="120" w:before="240"/>
      </w:pPr>
      <w:r>
        <w:rPr>
          <w:rFonts w:ascii="Calibri" w:cs="Calibri" w:eastAsia="Calibri" w:hAnsi="Calibri"/>
          <w:b/>
          <w:bCs/>
          <w:sz w:val="22"/>
          <w:szCs w:val="22"/>
        </w:rPr>
        <w:t xml:space="preserve">C.  Directions sought</w:t>
      </w:r>
    </w:p>
    <w:p>
      <w:pPr>
        <w:tabs>
          <w:tab w:val="left" w:pos="567"/>
        </w:tabs>
        <w:spacing w:after="120" w:line="276"/>
        <w:ind w:left="567" w:hanging="567"/>
        <w:jc w:val="both"/>
      </w:pPr>
      <w:r>
        <w:rPr>
          <w:rFonts w:ascii="Calibri" w:cs="Calibri" w:eastAsia="Calibri" w:hAnsi="Calibri"/>
          <w:sz w:val="22"/>
          <w:szCs w:val="22"/>
        </w:rPr>
        <w:t xml:space="preserve">1.	</w:t>
      </w:r>
      <w:r>
        <w:rPr>
          <w:rFonts w:ascii="Calibri" w:cs="Calibri" w:eastAsia="Calibri" w:hAnsi="Calibri"/>
          <w:b/>
          <w:bCs/>
          <w:sz w:val="22"/>
          <w:szCs w:val="22"/>
        </w:rPr>
        <w:t xml:space="preserve">Section 70 application. </w:t>
      </w:r>
      <w:r>
        <w:rPr>
          <w:rFonts w:ascii="Calibri" w:cs="Calibri" w:eastAsia="Calibri" w:hAnsi="Calibri"/>
          <w:sz w:val="22"/>
          <w:szCs w:val="22"/>
        </w:rPr>
        <w:t xml:space="preserve">The Respondent's application of 7 May 2026 be determined at, or as soon as practicable after, the directions hearing, on the materials already filed (including the Second Applicant's submissions of 19 May 2026), the Tribunal being at liberty to inspect the documents.</w:t>
      </w:r>
    </w:p>
    <w:p>
      <w:pPr>
        <w:tabs>
          <w:tab w:val="left" w:pos="567"/>
        </w:tabs>
        <w:spacing w:after="120" w:line="276"/>
        <w:ind w:left="567" w:hanging="567"/>
        <w:jc w:val="both"/>
      </w:pPr>
      <w:r>
        <w:rPr>
          <w:rFonts w:ascii="Calibri" w:cs="Calibri" w:eastAsia="Calibri" w:hAnsi="Calibri"/>
          <w:sz w:val="22"/>
          <w:szCs w:val="22"/>
        </w:rPr>
        <w:t xml:space="preserve">2.	</w:t>
      </w:r>
      <w:r>
        <w:rPr>
          <w:rFonts w:ascii="Calibri" w:cs="Calibri" w:eastAsia="Calibri" w:hAnsi="Calibri"/>
          <w:b/>
          <w:bCs/>
          <w:sz w:val="22"/>
          <w:szCs w:val="22"/>
        </w:rPr>
        <w:t xml:space="preserve">Withheld documents. </w:t>
      </w:r>
      <w:r>
        <w:rPr>
          <w:rFonts w:ascii="Calibri" w:cs="Calibri" w:eastAsia="Calibri" w:hAnsi="Calibri"/>
          <w:sz w:val="22"/>
          <w:szCs w:val="22"/>
        </w:rPr>
        <w:t xml:space="preserve">Within 14 days of these directions, the Respondent:</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give the Tribunal a copy of each of Attachments A to G, J, P and Q to briefing note EC22-002103 and Attachment J to briefing note EC22-002521, to the extent not already given; and</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file and serve a list describing each of those documents (date, author, recipient and general nature) and the basis on which it is said to be irrelevant or not to be disclosed to the applicants.</w:t>
      </w:r>
    </w:p>
    <w:p>
      <w:pPr>
        <w:spacing w:after="120"/>
        <w:ind w:left="567"/>
        <w:jc w:val="both"/>
      </w:pPr>
      <w:r>
        <w:rPr>
          <w:rFonts w:ascii="Calibri" w:cs="Calibri" w:eastAsia="Calibri" w:hAnsi="Calibri"/>
          <w:sz w:val="22"/>
          <w:szCs w:val="22"/>
        </w:rPr>
        <w:t xml:space="preserve">Any applicant may respond within 7 days of service of the list, and any dispute be determined on the papers or at a case event.</w:t>
      </w:r>
    </w:p>
    <w:p>
      <w:pPr>
        <w:tabs>
          <w:tab w:val="left" w:pos="567"/>
        </w:tabs>
        <w:spacing w:after="120" w:line="276"/>
        <w:ind w:left="567" w:hanging="567"/>
        <w:jc w:val="both"/>
      </w:pPr>
      <w:r>
        <w:rPr>
          <w:rFonts w:ascii="Calibri" w:cs="Calibri" w:eastAsia="Calibri" w:hAnsi="Calibri"/>
          <w:sz w:val="22"/>
          <w:szCs w:val="22"/>
        </w:rPr>
        <w:t xml:space="preserve">3.	</w:t>
      </w:r>
      <w:r>
        <w:rPr>
          <w:rFonts w:ascii="Calibri" w:cs="Calibri" w:eastAsia="Calibri" w:hAnsi="Calibri"/>
          <w:b/>
          <w:bCs/>
          <w:sz w:val="22"/>
          <w:szCs w:val="22"/>
        </w:rPr>
        <w:t xml:space="preserve">Supplementary tender bundle. </w:t>
      </w:r>
      <w:r>
        <w:rPr>
          <w:rFonts w:ascii="Calibri" w:cs="Calibri" w:eastAsia="Calibri" w:hAnsi="Calibri"/>
          <w:sz w:val="22"/>
          <w:szCs w:val="22"/>
        </w:rPr>
        <w:t xml:space="preserve">Within 14 days of the determination of the section 70 application, the Respondent lodge and serve its supplementary tender bundle, including any document to which access is permitted by that determination.</w:t>
      </w:r>
    </w:p>
    <w:p>
      <w:pPr>
        <w:tabs>
          <w:tab w:val="left" w:pos="567"/>
        </w:tabs>
        <w:spacing w:after="120" w:line="276"/>
        <w:ind w:left="567" w:hanging="567"/>
        <w:jc w:val="both"/>
      </w:pPr>
      <w:r>
        <w:rPr>
          <w:rFonts w:ascii="Calibri" w:cs="Calibri" w:eastAsia="Calibri" w:hAnsi="Calibri"/>
          <w:sz w:val="22"/>
          <w:szCs w:val="22"/>
        </w:rPr>
        <w:t xml:space="preserve">4.	</w:t>
      </w:r>
      <w:r>
        <w:rPr>
          <w:rFonts w:ascii="Calibri" w:cs="Calibri" w:eastAsia="Calibri" w:hAnsi="Calibri"/>
          <w:b/>
          <w:bCs/>
          <w:sz w:val="22"/>
          <w:szCs w:val="22"/>
        </w:rPr>
        <w:t xml:space="preserve">Delegations. </w:t>
      </w:r>
      <w:r>
        <w:rPr>
          <w:rFonts w:ascii="Calibri" w:cs="Calibri" w:eastAsia="Calibri" w:hAnsi="Calibri"/>
          <w:sz w:val="22"/>
          <w:szCs w:val="22"/>
        </w:rPr>
        <w:t xml:space="preserve">Within 14 days of these directions, the Respondent serve a copy of the instrument of delegation under which each of the decisions of 21 December 2022 and 21 April 2023 concerning the Second Applicant was made.</w:t>
      </w:r>
    </w:p>
    <w:p>
      <w:pPr>
        <w:tabs>
          <w:tab w:val="left" w:pos="567"/>
        </w:tabs>
        <w:spacing w:after="120" w:line="276"/>
        <w:ind w:left="567" w:hanging="567"/>
        <w:jc w:val="both"/>
      </w:pPr>
      <w:r>
        <w:rPr>
          <w:rFonts w:ascii="Calibri" w:cs="Calibri" w:eastAsia="Calibri" w:hAnsi="Calibri"/>
          <w:sz w:val="22"/>
          <w:szCs w:val="22"/>
        </w:rPr>
        <w:t xml:space="preserve">5.	</w:t>
      </w:r>
      <w:r>
        <w:rPr>
          <w:rFonts w:ascii="Calibri" w:cs="Calibri" w:eastAsia="Calibri" w:hAnsi="Calibri"/>
          <w:b/>
          <w:bCs/>
          <w:sz w:val="22"/>
          <w:szCs w:val="22"/>
        </w:rPr>
        <w:t xml:space="preserve">Respondent's statement of position and particulars. </w:t>
      </w:r>
      <w:r>
        <w:rPr>
          <w:rFonts w:ascii="Calibri" w:cs="Calibri" w:eastAsia="Calibri" w:hAnsi="Calibri"/>
          <w:sz w:val="22"/>
          <w:szCs w:val="22"/>
        </w:rPr>
        <w:t xml:space="preserve">Pursuant to section 79(2)(b) and (3) of the ART Act, within 28 days of service of the supplementary tender bundle, the Respondent file and serve a statement identifying, in respect of the Second Applicant:</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the decision it will ask the Tribunal to make under section 105 of the ART Act and, if it seeks a banning order, the complete wording, duration and commencement of that order;</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its position on the application of </w:t>
      </w:r>
      <w:r>
        <w:rPr>
          <w:rFonts w:ascii="Calibri" w:cs="Calibri" w:eastAsia="Calibri" w:hAnsi="Calibri"/>
          <w:i/>
          <w:iCs/>
          <w:sz w:val="22"/>
          <w:szCs w:val="22"/>
        </w:rPr>
        <w:t xml:space="preserve">Sunflower</w:t>
      </w:r>
      <w:r>
        <w:rPr>
          <w:rFonts w:ascii="Calibri" w:cs="Calibri" w:eastAsia="Calibri" w:hAnsi="Calibri"/>
          <w:sz w:val="22"/>
          <w:szCs w:val="22"/>
        </w:rPr>
        <w:t xml:space="preserve"> to the order under review;</w:t>
      </w:r>
    </w:p>
    <w:p>
      <w:pPr>
        <w:tabs>
          <w:tab w:val="left" w:pos="1134"/>
        </w:tabs>
        <w:spacing w:after="80" w:line="276"/>
        <w:ind w:left="1134" w:hanging="567"/>
        <w:jc w:val="both"/>
      </w:pPr>
      <w:r>
        <w:rPr>
          <w:rFonts w:ascii="Calibri" w:cs="Calibri" w:eastAsia="Calibri" w:hAnsi="Calibri"/>
          <w:sz w:val="22"/>
          <w:szCs w:val="22"/>
        </w:rPr>
        <w:t xml:space="preserve">(c)	</w:t>
      </w:r>
      <w:r>
        <w:rPr>
          <w:rFonts w:ascii="Calibri" w:cs="Calibri" w:eastAsia="Calibri" w:hAnsi="Calibri"/>
          <w:sz w:val="22"/>
          <w:szCs w:val="22"/>
        </w:rPr>
        <w:t xml:space="preserve">for each allegation relied on: the participant, period, amount, the entity that submitted the claim, the source document, the office (if any) held by the Second Applicant at that time, and the act or omission attributed to him personally;</w:t>
      </w:r>
    </w:p>
    <w:p>
      <w:pPr>
        <w:tabs>
          <w:tab w:val="left" w:pos="1134"/>
        </w:tabs>
        <w:spacing w:after="80" w:line="276"/>
        <w:ind w:left="1134" w:hanging="567"/>
        <w:jc w:val="both"/>
      </w:pPr>
      <w:r>
        <w:rPr>
          <w:rFonts w:ascii="Calibri" w:cs="Calibri" w:eastAsia="Calibri" w:hAnsi="Calibri"/>
          <w:sz w:val="22"/>
          <w:szCs w:val="22"/>
        </w:rPr>
        <w:t xml:space="preserve">(d)	</w:t>
      </w:r>
      <w:r>
        <w:rPr>
          <w:rFonts w:ascii="Calibri" w:cs="Calibri" w:eastAsia="Calibri" w:hAnsi="Calibri"/>
          <w:sz w:val="22"/>
          <w:szCs w:val="22"/>
        </w:rPr>
        <w:t xml:space="preserve">for any alleged contravention of a banning order: the date, the conduct and the term of the order said to have been contravened;</w:t>
      </w:r>
    </w:p>
    <w:p>
      <w:pPr>
        <w:tabs>
          <w:tab w:val="left" w:pos="1134"/>
        </w:tabs>
        <w:spacing w:after="80" w:line="276"/>
        <w:ind w:left="1134" w:hanging="567"/>
        <w:jc w:val="both"/>
      </w:pPr>
      <w:r>
        <w:rPr>
          <w:rFonts w:ascii="Calibri" w:cs="Calibri" w:eastAsia="Calibri" w:hAnsi="Calibri"/>
          <w:sz w:val="22"/>
          <w:szCs w:val="22"/>
        </w:rPr>
        <w:t xml:space="preserve">(e)	</w:t>
      </w:r>
      <w:r>
        <w:rPr>
          <w:rFonts w:ascii="Calibri" w:cs="Calibri" w:eastAsia="Calibri" w:hAnsi="Calibri"/>
          <w:sz w:val="22"/>
          <w:szCs w:val="22"/>
        </w:rPr>
        <w:t xml:space="preserve">whether it relies on any current investigation or proceeding concerning the Second Applicant and, if so, its identity and status; and</w:t>
      </w:r>
    </w:p>
    <w:p>
      <w:pPr>
        <w:tabs>
          <w:tab w:val="left" w:pos="1134"/>
        </w:tabs>
        <w:spacing w:after="80" w:line="276"/>
        <w:ind w:left="1134" w:hanging="567"/>
        <w:jc w:val="both"/>
      </w:pPr>
      <w:r>
        <w:rPr>
          <w:rFonts w:ascii="Calibri" w:cs="Calibri" w:eastAsia="Calibri" w:hAnsi="Calibri"/>
          <w:sz w:val="22"/>
          <w:szCs w:val="22"/>
        </w:rPr>
        <w:t xml:space="preserve">(f)	</w:t>
      </w:r>
      <w:r>
        <w:rPr>
          <w:rFonts w:ascii="Calibri" w:cs="Calibri" w:eastAsia="Calibri" w:hAnsi="Calibri"/>
          <w:sz w:val="22"/>
          <w:szCs w:val="22"/>
        </w:rPr>
        <w:t xml:space="preserve">each witness it intends to call, and each statement on which it intends to rely without calling its maker.</w:t>
      </w:r>
    </w:p>
    <w:p>
      <w:pPr>
        <w:tabs>
          <w:tab w:val="left" w:pos="567"/>
        </w:tabs>
        <w:spacing w:after="120" w:line="276"/>
        <w:ind w:left="567" w:hanging="567"/>
        <w:jc w:val="both"/>
      </w:pPr>
      <w:r>
        <w:rPr>
          <w:rFonts w:ascii="Calibri" w:cs="Calibri" w:eastAsia="Calibri" w:hAnsi="Calibri"/>
          <w:sz w:val="22"/>
          <w:szCs w:val="22"/>
        </w:rPr>
        <w:t xml:space="preserve">6.	</w:t>
      </w:r>
      <w:r>
        <w:rPr>
          <w:rFonts w:ascii="Calibri" w:cs="Calibri" w:eastAsia="Calibri" w:hAnsi="Calibri"/>
          <w:b/>
          <w:bCs/>
          <w:sz w:val="22"/>
          <w:szCs w:val="22"/>
        </w:rPr>
        <w:t xml:space="preserve">Applicants' SFIC and evidence. </w:t>
      </w:r>
      <w:r>
        <w:rPr>
          <w:rFonts w:ascii="Calibri" w:cs="Calibri" w:eastAsia="Calibri" w:hAnsi="Calibri"/>
          <w:sz w:val="22"/>
          <w:szCs w:val="22"/>
        </w:rPr>
        <w:t xml:space="preserve">Each applicant file and serve an updated SFIC and any further evidence within 35 days of service of the statement under direction 5.</w:t>
      </w:r>
    </w:p>
    <w:p>
      <w:pPr>
        <w:tabs>
          <w:tab w:val="left" w:pos="567"/>
        </w:tabs>
        <w:spacing w:after="120" w:line="276"/>
        <w:ind w:left="567" w:hanging="567"/>
        <w:jc w:val="both"/>
      </w:pPr>
      <w:r>
        <w:rPr>
          <w:rFonts w:ascii="Calibri" w:cs="Calibri" w:eastAsia="Calibri" w:hAnsi="Calibri"/>
          <w:sz w:val="22"/>
          <w:szCs w:val="22"/>
        </w:rPr>
        <w:t xml:space="preserve">7.	</w:t>
      </w:r>
      <w:r>
        <w:rPr>
          <w:rFonts w:ascii="Calibri" w:cs="Calibri" w:eastAsia="Calibri" w:hAnsi="Calibri"/>
          <w:b/>
          <w:bCs/>
          <w:sz w:val="22"/>
          <w:szCs w:val="22"/>
        </w:rPr>
        <w:t xml:space="preserve">Respondent's SFIC and evidence. </w:t>
      </w:r>
      <w:r>
        <w:rPr>
          <w:rFonts w:ascii="Calibri" w:cs="Calibri" w:eastAsia="Calibri" w:hAnsi="Calibri"/>
          <w:sz w:val="22"/>
          <w:szCs w:val="22"/>
        </w:rPr>
        <w:t xml:space="preserve">The Respondent file and serve its SFIC and evidence within 28 days after direction 6.</w:t>
      </w:r>
    </w:p>
    <w:p>
      <w:pPr>
        <w:tabs>
          <w:tab w:val="left" w:pos="567"/>
        </w:tabs>
        <w:spacing w:after="120" w:line="276"/>
        <w:ind w:left="567" w:hanging="567"/>
        <w:jc w:val="both"/>
      </w:pPr>
      <w:r>
        <w:rPr>
          <w:rFonts w:ascii="Calibri" w:cs="Calibri" w:eastAsia="Calibri" w:hAnsi="Calibri"/>
          <w:sz w:val="22"/>
          <w:szCs w:val="22"/>
        </w:rPr>
        <w:t xml:space="preserve">8.	</w:t>
      </w:r>
      <w:r>
        <w:rPr>
          <w:rFonts w:ascii="Calibri" w:cs="Calibri" w:eastAsia="Calibri" w:hAnsi="Calibri"/>
          <w:b/>
          <w:bCs/>
          <w:sz w:val="22"/>
          <w:szCs w:val="22"/>
        </w:rPr>
        <w:t xml:space="preserve">Reply. </w:t>
      </w:r>
      <w:r>
        <w:rPr>
          <w:rFonts w:ascii="Calibri" w:cs="Calibri" w:eastAsia="Calibri" w:hAnsi="Calibri"/>
          <w:sz w:val="22"/>
          <w:szCs w:val="22"/>
        </w:rPr>
        <w:t xml:space="preserve">Any applicant file and serve any reply within 14 days after direction 7.</w:t>
      </w:r>
    </w:p>
    <w:p>
      <w:pPr>
        <w:tabs>
          <w:tab w:val="left" w:pos="567"/>
        </w:tabs>
        <w:spacing w:after="120" w:line="276"/>
        <w:ind w:left="567" w:hanging="567"/>
        <w:jc w:val="both"/>
      </w:pPr>
      <w:r>
        <w:rPr>
          <w:rFonts w:ascii="Calibri" w:cs="Calibri" w:eastAsia="Calibri" w:hAnsi="Calibri"/>
          <w:sz w:val="22"/>
          <w:szCs w:val="22"/>
        </w:rPr>
        <w:t xml:space="preserve">9.	</w:t>
      </w:r>
      <w:r>
        <w:rPr>
          <w:rFonts w:ascii="Calibri" w:cs="Calibri" w:eastAsia="Calibri" w:hAnsi="Calibri"/>
          <w:b/>
          <w:bCs/>
          <w:sz w:val="22"/>
          <w:szCs w:val="22"/>
        </w:rPr>
        <w:t xml:space="preserve">Cross-examination requests. </w:t>
      </w:r>
      <w:r>
        <w:rPr>
          <w:rFonts w:ascii="Calibri" w:cs="Calibri" w:eastAsia="Calibri" w:hAnsi="Calibri"/>
          <w:sz w:val="22"/>
          <w:szCs w:val="22"/>
        </w:rPr>
        <w:t xml:space="preserve">Within 14 days after direction 7, any applicant may serve a notice identifying each statement-maker whose attendance is sought for cross-examination, the proposition in dispute and the reason attendance is necessary. Any dispute be determined at a case event.</w:t>
      </w:r>
    </w:p>
    <w:p>
      <w:pPr>
        <w:tabs>
          <w:tab w:val="left" w:pos="567"/>
        </w:tabs>
        <w:spacing w:after="120" w:line="276"/>
        <w:ind w:left="567" w:hanging="567"/>
        <w:jc w:val="both"/>
      </w:pPr>
      <w:r>
        <w:rPr>
          <w:rFonts w:ascii="Calibri" w:cs="Calibri" w:eastAsia="Calibri" w:hAnsi="Calibri"/>
          <w:sz w:val="22"/>
          <w:szCs w:val="22"/>
        </w:rPr>
        <w:t xml:space="preserve">10.	</w:t>
      </w:r>
      <w:r>
        <w:rPr>
          <w:rFonts w:ascii="Calibri" w:cs="Calibri" w:eastAsia="Calibri" w:hAnsi="Calibri"/>
          <w:b/>
          <w:bCs/>
          <w:sz w:val="22"/>
          <w:szCs w:val="22"/>
        </w:rPr>
        <w:t xml:space="preserve">Listing. </w:t>
      </w:r>
      <w:r>
        <w:rPr>
          <w:rFonts w:ascii="Calibri" w:cs="Calibri" w:eastAsia="Calibri" w:hAnsi="Calibri"/>
          <w:sz w:val="22"/>
          <w:szCs w:val="22"/>
        </w:rPr>
        <w:t xml:space="preserve">The matters be listed for final hearing on the first available date after compliance with direction 8. The estimate be fixed at a short case event after direction 9, taking account of the witnesses and interpreter arrangements. The form of any order, including the application of </w:t>
      </w:r>
      <w:r>
        <w:rPr>
          <w:rFonts w:ascii="Calibri" w:cs="Calibri" w:eastAsia="Calibri" w:hAnsi="Calibri"/>
          <w:i/>
          <w:iCs/>
          <w:sz w:val="22"/>
          <w:szCs w:val="22"/>
        </w:rPr>
        <w:t xml:space="preserve">Sunflower</w:t>
      </w:r>
      <w:r>
        <w:rPr>
          <w:rFonts w:ascii="Calibri" w:cs="Calibri" w:eastAsia="Calibri" w:hAnsi="Calibri"/>
          <w:sz w:val="22"/>
          <w:szCs w:val="22"/>
        </w:rPr>
        <w:t xml:space="preserve">, be dealt with at the final hearing.</w:t>
      </w:r>
    </w:p>
    <w:p>
      <w:pPr>
        <w:tabs>
          <w:tab w:val="left" w:pos="567"/>
        </w:tabs>
        <w:spacing w:after="120" w:line="276"/>
        <w:ind w:left="567" w:hanging="567"/>
        <w:jc w:val="both"/>
      </w:pPr>
      <w:r>
        <w:rPr>
          <w:rFonts w:ascii="Calibri" w:cs="Calibri" w:eastAsia="Calibri" w:hAnsi="Calibri"/>
          <w:sz w:val="22"/>
          <w:szCs w:val="22"/>
        </w:rPr>
        <w:t xml:space="preserve">11.	</w:t>
      </w:r>
      <w:r>
        <w:rPr>
          <w:rFonts w:ascii="Calibri" w:cs="Calibri" w:eastAsia="Calibri" w:hAnsi="Calibri"/>
          <w:b/>
          <w:bCs/>
          <w:sz w:val="22"/>
          <w:szCs w:val="22"/>
        </w:rPr>
        <w:t xml:space="preserve">Previous directions. </w:t>
      </w:r>
      <w:r>
        <w:rPr>
          <w:rFonts w:ascii="Calibri" w:cs="Calibri" w:eastAsia="Calibri" w:hAnsi="Calibri"/>
          <w:sz w:val="22"/>
          <w:szCs w:val="22"/>
        </w:rPr>
        <w:t xml:space="preserve">The directions of 15 May 2024 be vacated and replaced by these directions.</w:t>
      </w:r>
    </w:p>
    <w:p>
      <w:pPr>
        <w:tabs>
          <w:tab w:val="left" w:pos="567"/>
        </w:tabs>
        <w:spacing w:after="120" w:line="276"/>
        <w:ind w:left="567" w:hanging="567"/>
        <w:jc w:val="both"/>
      </w:pPr>
      <w:r>
        <w:rPr>
          <w:rFonts w:ascii="Calibri" w:cs="Calibri" w:eastAsia="Calibri" w:hAnsi="Calibri"/>
          <w:sz w:val="22"/>
          <w:szCs w:val="22"/>
        </w:rPr>
        <w:t xml:space="preserve">12.	</w:t>
      </w:r>
      <w:r>
        <w:rPr>
          <w:rFonts w:ascii="Calibri" w:cs="Calibri" w:eastAsia="Calibri" w:hAnsi="Calibri"/>
          <w:b/>
          <w:bCs/>
          <w:sz w:val="22"/>
          <w:szCs w:val="22"/>
        </w:rPr>
        <w:t xml:space="preserve">Liberty to apply </w:t>
      </w:r>
      <w:r>
        <w:rPr>
          <w:rFonts w:ascii="Calibri" w:cs="Calibri" w:eastAsia="Calibri" w:hAnsi="Calibri"/>
          <w:sz w:val="22"/>
          <w:szCs w:val="22"/>
        </w:rPr>
        <w:t xml:space="preserve">on reasonable notice, including for the issue of summonses under section 74 of the ART Act.</w:t>
      </w:r>
    </w:p>
    <w:p>
      <w:pPr>
        <w:spacing w:before="480"/>
      </w:pPr>
      <w:r>
        <w:rPr>
          <w:rFonts w:ascii="Calibri" w:cs="Calibri" w:eastAsia="Calibri" w:hAnsi="Calibri"/>
          <w:sz w:val="22"/>
          <w:szCs w:val="22"/>
        </w:rPr>
        <w:t xml:space="preserve">Dated: ______________________ 2026</w:t>
      </w:r>
    </w:p>
    <w:p>
      <w:pPr>
        <w:spacing w:before="600"/>
      </w:pPr>
      <w:r>
        <w:rPr>
          <w:rFonts w:ascii="Calibri" w:cs="Calibri" w:eastAsia="Calibri" w:hAnsi="Calibri"/>
          <w:sz w:val="22"/>
          <w:szCs w:val="22"/>
        </w:rPr>
        <w:t xml:space="preserve">________________________________</w:t>
      </w:r>
    </w:p>
    <w:p>
      <w:r>
        <w:rPr>
          <w:rFonts w:ascii="Calibri" w:cs="Calibri" w:eastAsia="Calibri" w:hAnsi="Calibri"/>
          <w:b/>
          <w:bCs/>
          <w:sz w:val="22"/>
          <w:szCs w:val="22"/>
        </w:rPr>
        <w:t xml:space="preserve">Simon Reid</w:t>
      </w:r>
    </w:p>
    <w:p>
      <w:r>
        <w:rPr>
          <w:rFonts w:ascii="Calibri" w:cs="Calibri" w:eastAsia="Calibri" w:hAnsi="Calibri"/>
          <w:sz w:val="22"/>
          <w:szCs w:val="22"/>
        </w:rPr>
        <w:t xml:space="preserve">Second Applicant, in person</w:t>
      </w:r>
    </w:p>
    <w:sectPr>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2026-09-24T17:53:24.744Z</dcterms:created>
  <dcterms:modified xsi:type="dcterms:W3CDTF">2026-09-24T17:53:24.753Z</dcterms:modified>
</cp:coreProperties>
</file>

<file path=docProps/custom.xml><?xml version="1.0" encoding="utf-8"?>
<Properties xmlns="http://schemas.openxmlformats.org/officeDocument/2006/custom-properties" xmlns:vt="http://schemas.openxmlformats.org/officeDocument/2006/docPropsVTypes"/>
</file>