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Defeating the “Commission shield”</w:t>
      </w:r>
    </w:p>
    <w:p>
      <w:pPr>
        <w:spacing w:after="40"/>
      </w:pPr>
      <w:r>
        <w:rPr>
          <w:color w:val="595959"/>
          <w:sz w:val="22"/>
          <w:szCs w:val="22"/>
        </w:rPr>
        <w:t xml:space="preserve">Bringing the NDIA — and Halls and Lundgren — into the picture</w:t>
      </w:r>
    </w:p>
    <w:p>
      <w:pPr>
        <w:spacing w:after="140"/>
      </w:pPr>
      <w:r>
        <w:rPr>
          <w:i/>
          <w:iCs/>
          <w:color w:val="595959"/>
          <w:sz w:val="18"/>
          <w:szCs w:val="18"/>
        </w:rPr>
        <w:t xml:space="preserve">Reid v NDIS Commission (ART 2023/3361, 2023/3363, 2023/4494) + contemplated Reid v NDIA (Federal Court, s 39B) · 26 June 2026 · prepared to brief counsel · not legal advice</w:t>
      </w:r>
    </w:p>
    <w:p>
      <w:pPr>
        <w:pStyle w:val="Heading1"/>
      </w:pPr>
      <w:r>
        <w:t xml:space="preserve">1. The answer in short</w:t>
      </w:r>
    </w:p>
    <w:p>
      <w:pPr>
        <w:spacing w:after="120"/>
      </w:pPr>
      <w:r>
        <w:rPr>
          <w:b/>
          <w:bCs/>
        </w:rPr>
        <w:t xml:space="preserve">Your instinct is right, and your own documents prove it. </w:t>
      </w:r>
      <w:r>
        <w:t xml:space="preserve">The NDIA built and ran this operation from February 2022 — the “fraud” framing, the coordinated provider exit, the installation of competitors, the payment freeze, the alerts and the canvassing of participants. The Commission did not exercise any power until the banning orders on 21 December 2022, roughly ten months later, and it did so on a foundation the NDIA had supplied. The AGS now litigates the Commission’s banning orders because that keeps the lens on the Reids’ “suitability” and keeps the NDIA’s ten months of conduct off-stage. That is the shield.</w:t>
      </w:r>
    </w:p>
    <w:p>
      <w:pPr>
        <w:spacing w:after="120"/>
      </w:pPr>
      <w:r>
        <w:t xml:space="preserve">You break it three ways, and they reinforce each other:</w:t>
      </w:r>
    </w:p>
    <w:p>
      <w:pPr>
        <w:pStyle w:val="ListParagraph"/>
        <w:numPr>
          <w:ilvl w:val="0"/>
          <w:numId w:val="2"/>
        </w:numPr>
        <w:spacing w:after="60"/>
      </w:pPr>
      <w:r>
        <w:rPr>
          <w:b/>
          <w:bCs/>
        </w:rPr>
        <w:t xml:space="preserve">Prove the chronology — NDIA first, Commission last. </w:t>
      </w:r>
      <w:r>
        <w:t xml:space="preserve">A dated, sourced timeline that shows the operation was the NDIA’s, and the banning orders were the last regulatory step on an NDIA-built case.</w:t>
      </w:r>
    </w:p>
    <w:p>
      <w:pPr>
        <w:pStyle w:val="ListParagraph"/>
        <w:numPr>
          <w:ilvl w:val="0"/>
          <w:numId w:val="2"/>
        </w:numPr>
        <w:spacing w:after="60"/>
      </w:pPr>
      <w:r>
        <w:rPr>
          <w:b/>
          <w:bCs/>
        </w:rPr>
        <w:t xml:space="preserve">Make the NDIA’s conduct relevant inside the ART. </w:t>
      </w:r>
      <w:r>
        <w:t xml:space="preserve">Not by reviewing the NDIA (you cannot), but by attacking the independence and reliability of the evidence the Commission adopted from it — and by summonsing the NDIA, Halls and Lundgren as non-parties. Then put the Commission to its election: own the NDIA material or disclaim it.</w:t>
      </w:r>
    </w:p>
    <w:p>
      <w:pPr>
        <w:pStyle w:val="ListParagraph"/>
        <w:numPr>
          <w:ilvl w:val="0"/>
          <w:numId w:val="2"/>
        </w:numPr>
        <w:spacing w:after="60"/>
      </w:pPr>
      <w:r>
        <w:rPr>
          <w:b/>
          <w:bCs/>
        </w:rPr>
        <w:t xml:space="preserve">Make the NDIA a respondent in its own right. </w:t>
      </w:r>
      <w:r>
        <w:t xml:space="preserve">The Federal Court s 39B proceeding — judicial review of the NDIA’s conduct, and misfeasance in public office against Halls and Lundgren personally — is the only forum where the shield does not exist.</w:t>
      </w:r>
    </w:p>
    <w:p>
      <w:pPr>
        <w:pStyle w:val="Heading1"/>
      </w:pPr>
      <w:r>
        <w:t xml:space="preserve">2. Two agencies, one operation — the distinction the AGS exploits</w:t>
      </w:r>
    </w:p>
    <w:p>
      <w:pPr>
        <w:spacing w:after="120"/>
      </w:pPr>
      <w:r>
        <w:t xml:space="preserve">The NDIA and the Commission are separate statutory bodies. The NDIA runs the scheme and the payments; the Commission is the regulator that registers and bans providers. That distinction is the architecture of the shield:</w:t>
      </w:r>
    </w:p>
    <w:p>
      <w:pPr>
        <w:pStyle w:val="ListParagraph"/>
        <w:numPr>
          <w:ilvl w:val="0"/>
          <w:numId w:val="3"/>
        </w:numPr>
        <w:spacing w:after="60"/>
      </w:pPr>
      <w:r>
        <w:rPr>
          <w:b/>
          <w:bCs/>
        </w:rPr>
        <w:t xml:space="preserve">The reviewable decisions are the Commission’s </w:t>
      </w:r>
      <w:r>
        <w:t xml:space="preserve">(the banning orders). The ART “stands in the shoes” of the Commission and asks the correct or preferable decision on suitability. The NDIA is not a party and cannot be made one in the ART.</w:t>
      </w:r>
    </w:p>
    <w:p>
      <w:pPr>
        <w:pStyle w:val="ListParagraph"/>
        <w:numPr>
          <w:ilvl w:val="0"/>
          <w:numId w:val="3"/>
        </w:numPr>
        <w:spacing w:after="60"/>
      </w:pPr>
      <w:r>
        <w:rPr>
          <w:b/>
          <w:bCs/>
        </w:rPr>
        <w:t xml:space="preserve">The conduct that aggrieves you is the NDIA’s. </w:t>
      </w:r>
      <w:r>
        <w:t xml:space="preserve">Halls and Lundgren are NDIA officers — Halls emails from Nathan.Halls2@ndis.gov.au as “Assistant Director, Participant Solutions, WA Operations”; Lundgren is the NDIA officer behind the 6 October 2022 payment-freeze position. (@ndis.gov.au is the NDIA; the Commission is @ndiscommission.gov.au.)</w:t>
      </w:r>
    </w:p>
    <w:p>
      <w:pPr>
        <w:pStyle w:val="ListParagraph"/>
        <w:numPr>
          <w:ilvl w:val="0"/>
          <w:numId w:val="3"/>
        </w:numPr>
        <w:spacing w:after="60"/>
      </w:pPr>
      <w:r>
        <w:rPr>
          <w:b/>
          <w:bCs/>
        </w:rPr>
        <w:t xml:space="preserve">So the AGS keeps the fight in the ART </w:t>
      </w:r>
      <w:r>
        <w:t xml:space="preserve">on the Commission’s ground, where it can say the NDIA’s conduct is “irrelevant to suitability” and the NDIA is “not a party — take it elsewhere.” The siloing is the tactic.</w:t>
      </w:r>
    </w:p>
    <w:p>
      <w:pPr>
        <w:spacing w:after="120"/>
      </w:pPr>
      <w:r>
        <w:rPr>
          <w:b/>
          <w:bCs/>
          <w:i/>
          <w:iCs/>
        </w:rPr>
        <w:t xml:space="preserve">Calibration (so you don’t overstate it): </w:t>
      </w:r>
      <w:r>
        <w:rPr>
          <w:i/>
          <w:iCs/>
        </w:rPr>
        <w:t xml:space="preserve">“brought in at the last minute” is right that the Commission did not </w:t>
      </w:r>
      <w:r>
        <w:rPr>
          <w:b/>
          <w:bCs/>
          <w:i/>
          <w:iCs/>
        </w:rPr>
        <w:t xml:space="preserve">act</w:t>
      </w:r>
      <w:r>
        <w:rPr>
          <w:i/>
          <w:iCs/>
        </w:rPr>
        <w:t xml:space="preserve"> until December 2022 — but it was being fed NDIA and competitor material from at least 16 August 2022 (Tear: correspondence “passed onto … the Commission”). The precise question for discovery is whether the Commission did any </w:t>
      </w:r>
      <w:r>
        <w:rPr>
          <w:b/>
          <w:bCs/>
          <w:i/>
          <w:iCs/>
        </w:rPr>
        <w:t xml:space="preserve">independent</w:t>
      </w:r>
      <w:r>
        <w:rPr>
          <w:i/>
          <w:iCs/>
        </w:rPr>
        <w:t xml:space="preserve"> assessment in that window, or simply adopted the NDIA’s pre-built case. The gap between “fed in August” and “acted in December” is itself the target.</w:t>
      </w:r>
    </w:p>
    <w:p>
      <w:pPr>
        <w:pStyle w:val="Heading1"/>
      </w:pPr>
      <w:r>
        <w:t xml:space="preserve">3. The chronology — NDIA first, Commission last</w:t>
      </w:r>
    </w:p>
    <w:p>
      <w:pPr>
        <w:spacing w:after="120"/>
      </w:pPr>
      <w:r>
        <w:t xml:space="preserve">This is the spine. Every row is from your own material; the [VERIFY] tags must be re-confirmed against the primary brief before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4140"/>
        <w:gridCol w:w="2100"/>
      </w:tblGrid>
      <w:tr>
        <w:trPr>
          <w:tblHeader/>
        </w:trPr>
        <w:tc>
          <w:tcPr>
            <w:tcW w:type="dxa" w:w="1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Date</w:t>
            </w:r>
          </w:p>
        </w:tc>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Actor (agency)</w:t>
            </w:r>
          </w:p>
        </w:tc>
        <w:tc>
          <w:tcPr>
            <w:tcW w:type="dxa" w:w="41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Action / document</w:t>
            </w:r>
          </w:p>
        </w:tc>
        <w:tc>
          <w:tcPr>
            <w:tcW w:type="dxa" w:w="2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Source (your file — confirm before filing)</w:t>
            </w:r>
          </w:p>
        </w:tc>
      </w:tr>
      <w:tr>
        <w:trPr>
          <w:tblHeader w:val="false"/>
        </w:trPr>
        <w:tc>
          <w:tcPr>
            <w:tcW w:type="dxa" w:w="112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Feb 2022</w:t>
            </w:r>
          </w:p>
        </w:tc>
        <w:tc>
          <w:tcPr>
            <w:tcW w:type="dxa" w:w="20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Halls — NDIA</w:t>
            </w:r>
          </w:p>
        </w:tc>
        <w:tc>
          <w:tcPr>
            <w:tcW w:type="dxa" w:w="414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First frames FFG as “raising concerns over fraudulent behaviour.”</w:t>
            </w:r>
          </w:p>
        </w:tc>
        <w:tc>
          <w:tcPr>
            <w:tcW w:type="dxa" w:w="21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Amended SoFIC; Alam dossier</w:t>
            </w:r>
          </w:p>
        </w:tc>
      </w:tr>
      <w:tr>
        <w:trPr>
          <w:tblHeader w:val="false"/>
        </w:trPr>
        <w:tc>
          <w:tcPr>
            <w:tcW w:type="dxa" w:w="112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16 Aug 2022</w:t>
            </w:r>
          </w:p>
        </w:tc>
        <w:tc>
          <w:tcPr>
            <w:tcW w:type="dxa" w:w="20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Halls — NDIA (cc fraudreporting@ndis.gov.au + Tear)</w:t>
            </w:r>
          </w:p>
        </w:tc>
        <w:tc>
          <w:tcPr>
            <w:tcW w:type="dxa" w:w="414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“Diversitas involvement as the Support Coordinator was at the request of the agency via a request for service” — the NDIA installs the competitor. Tear replies that the correspondence was “passed onto … the Quality and Safeguards Commission” — first Commission touchpoint.</w:t>
            </w:r>
          </w:p>
        </w:tc>
        <w:tc>
          <w:tcPr>
            <w:tcW w:type="dxa" w:w="21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Alam dossier; Exhibit Schedule EX-2</w:t>
            </w:r>
          </w:p>
        </w:tc>
      </w:tr>
      <w:tr>
        <w:trPr>
          <w:tblHeader w:val="false"/>
        </w:trPr>
        <w:tc>
          <w:tcPr>
            <w:tcW w:type="dxa" w:w="112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18 Aug 2022</w:t>
            </w:r>
          </w:p>
        </w:tc>
        <w:tc>
          <w:tcPr>
            <w:tcW w:type="dxa" w:w="20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NDIA</w:t>
            </w:r>
          </w:p>
        </w:tc>
        <w:tc>
          <w:tcPr>
            <w:tcW w:type="dxa" w:w="414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Tactical Intelligence Report prepared (an NDIA document).</w:t>
            </w:r>
          </w:p>
        </w:tc>
        <w:tc>
          <w:tcPr>
            <w:tcW w:type="dxa" w:w="21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Amended SoFIC [VERIFY]</w:t>
            </w:r>
          </w:p>
        </w:tc>
      </w:tr>
      <w:tr>
        <w:trPr>
          <w:tblHeader w:val="false"/>
        </w:trPr>
        <w:tc>
          <w:tcPr>
            <w:tcW w:type="dxa" w:w="112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29 Sep 2022</w:t>
            </w:r>
          </w:p>
        </w:tc>
        <w:tc>
          <w:tcPr>
            <w:tcW w:type="dxa" w:w="20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Halls — NDIA (Nathan.Halls2@ndis.gov.au, cc WA.OPERATIONS)</w:t>
            </w:r>
          </w:p>
        </w:tc>
        <w:tc>
          <w:tcPr>
            <w:tcW w:type="dxa" w:w="414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“I am leading a coordinated provider exit on behalf of the NDIA”; treats fraud as “substantiated” before any charge (“Provider Exit – participant concerns”).</w:t>
            </w:r>
          </w:p>
        </w:tc>
        <w:tc>
          <w:tcPr>
            <w:tcW w:type="dxa" w:w="21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Primary Outlook email; Improper-Purpose subs</w:t>
            </w:r>
          </w:p>
        </w:tc>
      </w:tr>
      <w:tr>
        <w:trPr>
          <w:tblHeader w:val="false"/>
        </w:trPr>
        <w:tc>
          <w:tcPr>
            <w:tcW w:type="dxa" w:w="112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5 Oct 2022</w:t>
            </w:r>
          </w:p>
        </w:tc>
        <w:tc>
          <w:tcPr>
            <w:tcW w:type="dxa" w:w="20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NDIA planner delegate (Millan)</w:t>
            </w:r>
          </w:p>
        </w:tc>
        <w:tc>
          <w:tcPr>
            <w:tcW w:type="dxa" w:w="414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“I have completed a request for service for support coordination to the provider Diversitas.”</w:t>
            </w:r>
          </w:p>
        </w:tc>
        <w:tc>
          <w:tcPr>
            <w:tcW w:type="dxa" w:w="21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Amended SoFIC</w:t>
            </w:r>
          </w:p>
        </w:tc>
      </w:tr>
      <w:tr>
        <w:trPr>
          <w:tblHeader w:val="false"/>
        </w:trPr>
        <w:tc>
          <w:tcPr>
            <w:tcW w:type="dxa" w:w="112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pPr>
            <w:r>
              <w:rPr>
                <w:b w:val="false"/>
                <w:bCs w:val="false"/>
                <w:color w:val="000000"/>
                <w:sz w:val="17"/>
                <w:szCs w:val="17"/>
              </w:rPr>
              <w:t xml:space="preserve">6 Oct 2022</w:t>
            </w:r>
          </w:p>
        </w:tc>
        <w:tc>
          <w:tcPr>
            <w:tcW w:type="dxa" w:w="20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pPr>
            <w:r>
              <w:rPr>
                <w:b w:val="false"/>
                <w:bCs w:val="false"/>
                <w:color w:val="000000"/>
                <w:sz w:val="17"/>
                <w:szCs w:val="17"/>
              </w:rPr>
              <w:t xml:space="preserve">Lundgren — NDIA</w:t>
            </w:r>
          </w:p>
        </w:tc>
        <w:tc>
          <w:tcPr>
            <w:tcW w:type="dxa" w:w="414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pPr>
            <w:r>
              <w:rPr>
                <w:b w:val="false"/>
                <w:bCs w:val="false"/>
                <w:color w:val="000000"/>
                <w:sz w:val="17"/>
                <w:szCs w:val="17"/>
              </w:rPr>
              <w:t xml:space="preserve">“The Agency has not directed Assist Plan Managers to cease all payments” — contradicts Halls’s freeze.</w:t>
            </w:r>
          </w:p>
        </w:tc>
        <w:tc>
          <w:tcPr>
            <w:tcW w:type="dxa" w:w="21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pPr>
            <w:r>
              <w:rPr>
                <w:b w:val="false"/>
                <w:bCs w:val="false"/>
                <w:color w:val="000000"/>
                <w:sz w:val="17"/>
                <w:szCs w:val="17"/>
              </w:rPr>
              <w:t xml:space="preserve">Sequenced Strategy Play; offensive memo</w:t>
            </w:r>
          </w:p>
        </w:tc>
      </w:tr>
      <w:tr>
        <w:trPr>
          <w:tblHeader w:val="false"/>
        </w:trPr>
        <w:tc>
          <w:tcPr>
            <w:tcW w:type="dxa" w:w="112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7 Oct 2022</w:t>
            </w:r>
          </w:p>
        </w:tc>
        <w:tc>
          <w:tcPr>
            <w:tcW w:type="dxa" w:w="20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Jarratt — NDIA Fraud Intel (Melbourne)</w:t>
            </w:r>
          </w:p>
        </w:tc>
        <w:tc>
          <w:tcPr>
            <w:tcW w:type="dxa" w:w="414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Canvasses participants re FFG and Hybrid Hive.</w:t>
            </w:r>
          </w:p>
        </w:tc>
        <w:tc>
          <w:tcPr>
            <w:tcW w:type="dxa" w:w="21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Amended SoFIC (Sweep 2)</w:t>
            </w:r>
          </w:p>
        </w:tc>
      </w:tr>
      <w:tr>
        <w:trPr>
          <w:tblHeader w:val="false"/>
        </w:trPr>
        <w:tc>
          <w:tcPr>
            <w:tcW w:type="dxa" w:w="112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19 Oct 2022</w:t>
            </w:r>
          </w:p>
        </w:tc>
        <w:tc>
          <w:tcPr>
            <w:tcW w:type="dxa" w:w="20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NDIA</w:t>
            </w:r>
          </w:p>
        </w:tc>
        <w:tc>
          <w:tcPr>
            <w:tcW w:type="dxa" w:w="414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Statement of Material Facts (INV22-080) — an NDIA document.</w:t>
            </w:r>
          </w:p>
        </w:tc>
        <w:tc>
          <w:tcPr>
            <w:tcW w:type="dxa" w:w="21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pPr>
            <w:r>
              <w:rPr>
                <w:b w:val="false"/>
                <w:bCs w:val="false"/>
                <w:color w:val="000000"/>
                <w:sz w:val="17"/>
                <w:szCs w:val="17"/>
              </w:rPr>
              <w:t xml:space="preserve">Amended SoFIC [VERIFY]</w:t>
            </w:r>
          </w:p>
        </w:tc>
      </w:tr>
      <w:tr>
        <w:trPr>
          <w:tblHeader w:val="false"/>
        </w:trPr>
        <w:tc>
          <w:tcPr>
            <w:tcW w:type="dxa" w:w="112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pPr>
            <w:r>
              <w:rPr>
                <w:b w:val="false"/>
                <w:bCs w:val="false"/>
                <w:color w:val="000000"/>
                <w:sz w:val="17"/>
                <w:szCs w:val="17"/>
              </w:rPr>
              <w:t xml:space="preserve">21 Dec 2022</w:t>
            </w:r>
          </w:p>
        </w:tc>
        <w:tc>
          <w:tcPr>
            <w:tcW w:type="dxa" w:w="2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pPr>
            <w:r>
              <w:rPr>
                <w:b w:val="false"/>
                <w:bCs w:val="false"/>
                <w:color w:val="000000"/>
                <w:sz w:val="17"/>
                <w:szCs w:val="17"/>
              </w:rPr>
              <w:t xml:space="preserve">Commission</w:t>
            </w:r>
          </w:p>
        </w:tc>
        <w:tc>
          <w:tcPr>
            <w:tcW w:type="dxa" w:w="414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pPr>
            <w:r>
              <w:rPr>
                <w:b w:val="false"/>
                <w:bCs w:val="false"/>
                <w:color w:val="000000"/>
                <w:sz w:val="17"/>
                <w:szCs w:val="17"/>
              </w:rPr>
              <w:t xml:space="preserve">Banning orders issued against Simon and Vida Reid — the first exercise of Commission power, ~10 months after the NDIA began.</w:t>
            </w:r>
          </w:p>
        </w:tc>
        <w:tc>
          <w:tcPr>
            <w:tcW w:type="dxa" w:w="21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pPr>
            <w:r>
              <w:rPr>
                <w:b w:val="false"/>
                <w:bCs w:val="false"/>
                <w:color w:val="000000"/>
                <w:sz w:val="17"/>
                <w:szCs w:val="17"/>
              </w:rPr>
              <w:t xml:space="preserve">Banning order files</w:t>
            </w:r>
          </w:p>
        </w:tc>
      </w:tr>
      <w:tr>
        <w:trPr>
          <w:tblHeader w:val="false"/>
        </w:trPr>
        <w:tc>
          <w:tcPr>
            <w:tcW w:type="dxa" w:w="112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pPr>
            <w:r>
              <w:rPr>
                <w:b w:val="false"/>
                <w:bCs w:val="false"/>
                <w:color w:val="000000"/>
                <w:sz w:val="17"/>
                <w:szCs w:val="17"/>
              </w:rPr>
              <w:t xml:space="preserve">Decision brief (EC22-002103 / “Project Archer”)</w:t>
            </w:r>
          </w:p>
        </w:tc>
        <w:tc>
          <w:tcPr>
            <w:tcW w:type="dxa" w:w="2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pPr>
            <w:r>
              <w:rPr>
                <w:b w:val="false"/>
                <w:bCs w:val="false"/>
                <w:color w:val="000000"/>
                <w:sz w:val="17"/>
                <w:szCs w:val="17"/>
              </w:rPr>
              <w:t xml:space="preserve">Commission</w:t>
            </w:r>
          </w:p>
        </w:tc>
        <w:tc>
          <w:tcPr>
            <w:tcW w:type="dxa" w:w="414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pPr>
            <w:r>
              <w:rPr>
                <w:b w:val="false"/>
                <w:bCs w:val="false"/>
                <w:color w:val="000000"/>
                <w:sz w:val="17"/>
                <w:szCs w:val="17"/>
              </w:rPr>
              <w:t xml:space="preserve">Records that the evidence “draws upon statements obtained and provided by the NDIA in support of their criminal investigation,” that “the NDIA currently has an investigation ongoing,” and that “the Provider Exit Protocol has been actioned with the NDIA”; routes disclosure to NDIA Fraud’s A/Director, Bruce Graydon.</w:t>
            </w:r>
          </w:p>
        </w:tc>
        <w:tc>
          <w:tcPr>
            <w:tcW w:type="dxa" w:w="21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pPr>
            <w:r>
              <w:rPr>
                <w:b w:val="false"/>
                <w:bCs w:val="false"/>
                <w:color w:val="000000"/>
                <w:sz w:val="17"/>
                <w:szCs w:val="17"/>
              </w:rPr>
              <w:t xml:space="preserve">Disclosure/Production application; Amended SoFIC [VERIFY against primary brief]</w:t>
            </w:r>
          </w:p>
        </w:tc>
      </w:tr>
    </w:tbl>
    <w:p>
      <w:pPr>
        <w:pStyle w:val="Heading1"/>
      </w:pPr>
      <w:r>
        <w:t xml:space="preserve">4. The crack in the shield — the Commission’s case is the NDIA’s case</w:t>
      </w:r>
    </w:p>
    <w:p>
      <w:pPr>
        <w:spacing w:after="120"/>
      </w:pPr>
      <w:r>
        <w:t xml:space="preserve">You do not need the NDIA to be a party to make its conduct decisive. The Commission’s </w:t>
      </w:r>
      <w:r>
        <w:rPr>
          <w:b/>
          <w:bCs/>
        </w:rPr>
        <w:t xml:space="preserve">own decision brief</w:t>
      </w:r>
      <w:r>
        <w:t xml:space="preserve"> says the evidence “draws upon statements obtained and provided by the NDIA in support of their criminal investigation,” that “the NDIA currently has an investigation ongoing,” and that “the Provider Exit Protocol has been actioned with the NDIA,” routing disclosure to the NDIA’s fraud director. The Statement of Material Facts (19 Oct 2022) and the Tactical Intelligence Report (18 Aug 2022) are NDIA documents.</w:t>
      </w:r>
    </w:p>
    <w:p>
      <w:pPr>
        <w:spacing w:after="120"/>
      </w:pPr>
      <w:r>
        <w:rPr>
          <w:b/>
          <w:bCs/>
        </w:rPr>
        <w:t xml:space="preserve">That is the doorway. </w:t>
      </w:r>
      <w:r>
        <w:t xml:space="preserve">If the NDIA-sourced evidence was generated for an improper purpose — engineering FFG’s exit and reallocating its participants to competitors (Halls’s own words) — then the evidentiary foundation of the Commission’s suitability finding is tainted and unreliable. Reliability and weight of the material before it is squarely the Tribunal’s task. The NDIA conduct comes in not as a separate review, but as the reason the Commission’s evidence cannot be safely relied on.</w:t>
      </w:r>
    </w:p>
    <w:p>
      <w:pPr>
        <w:pStyle w:val="Heading1"/>
      </w:pPr>
      <w:r>
        <w:t xml:space="preserve">5. Route A — inside the ART: independence and taint</w:t>
      </w:r>
    </w:p>
    <w:p>
      <w:pPr>
        <w:spacing w:after="120"/>
      </w:pPr>
      <w:r>
        <w:rPr>
          <w:b/>
          <w:bCs/>
        </w:rPr>
        <w:t xml:space="preserve">What it achieves: </w:t>
      </w:r>
      <w:r>
        <w:t xml:space="preserve">drags Halls, Lundgren and the NDIA operation into the hearing room without the NDIA being a party, and undermines the orders under review.</w:t>
      </w:r>
    </w:p>
    <w:p>
      <w:pPr>
        <w:pStyle w:val="ListParagraph"/>
        <w:numPr>
          <w:ilvl w:val="0"/>
          <w:numId w:val="3"/>
        </w:numPr>
        <w:spacing w:after="60"/>
      </w:pPr>
      <w:r>
        <w:rPr>
          <w:b/>
          <w:bCs/>
        </w:rPr>
        <w:t xml:space="preserve">Plead it. </w:t>
      </w:r>
      <w:r>
        <w:t xml:space="preserve">The amended SoFIC puts the independence/reliability of the NDIA-sourced evidence in issue. Per Abdullah, de novo review cures process complaints — so do not plead bad faith here; plead that the evidence is not independent: material generated, solicited or curated by an agency running a “coordinated provider exit,” or supplied by commercial rivals who benefited from it, cannot support comfortable satisfaction of present unsuitability. Convergence among such sources is repetition from a common origin, not corroboration.</w:t>
      </w:r>
    </w:p>
    <w:p>
      <w:pPr>
        <w:pStyle w:val="ListParagraph"/>
        <w:numPr>
          <w:ilvl w:val="0"/>
          <w:numId w:val="3"/>
        </w:numPr>
        <w:spacing w:after="60"/>
      </w:pPr>
      <w:r>
        <w:rPr>
          <w:b/>
          <w:bCs/>
        </w:rPr>
        <w:t xml:space="preserve">Compel it. </w:t>
      </w:r>
      <w:r>
        <w:t xml:space="preserve">Use the ART’s summons/production power to summons the NDIA (non-party), and Halls and Lundgren personally (and Graydon and Jarratt), to produce documents and give evidence — no party status required. Targets: Halls’s and Lundgren’s correspondence, the request-for-service/reallocation records, the Provider Exit Protocol, and the status of any NDIA investigation as at 11 March 2025. [Verify the precise ART summons/production provisions.]</w:t>
      </w:r>
    </w:p>
    <w:p>
      <w:pPr>
        <w:pStyle w:val="ListParagraph"/>
        <w:numPr>
          <w:ilvl w:val="0"/>
          <w:numId w:val="3"/>
        </w:numPr>
        <w:spacing w:after="60"/>
      </w:pPr>
      <w:r>
        <w:rPr>
          <w:b/>
          <w:bCs/>
        </w:rPr>
        <w:t xml:space="preserve">Limit (be honest). </w:t>
      </w:r>
      <w:r>
        <w:t xml:space="preserve">The ART can give the NDIA-sourced evidence no weight and can vary or set aside the orders — but it cannot grant any remedy against the NDIA. For that you need Route C.</w:t>
      </w:r>
    </w:p>
    <w:p>
      <w:pPr>
        <w:pStyle w:val="Heading1"/>
      </w:pPr>
      <w:r>
        <w:t xml:space="preserve">6. Route B — the election wedge (the lever that links the forums)</w:t>
      </w:r>
    </w:p>
    <w:p>
      <w:pPr>
        <w:spacing w:after="120"/>
      </w:pPr>
      <w:r>
        <w:rPr>
          <w:b/>
          <w:bCs/>
        </w:rPr>
        <w:t xml:space="preserve">What it achieves: </w:t>
      </w:r>
      <w:r>
        <w:t xml:space="preserve">forces the Commonwealth to take one position on oath, and every available position damages one of its bodies.</w:t>
      </w:r>
    </w:p>
    <w:p>
      <w:pPr>
        <w:spacing w:after="120"/>
      </w:pPr>
      <w:r>
        <w:rPr>
          <w:b/>
          <w:bCs/>
        </w:rPr>
        <w:t xml:space="preserve">The internal NDIA contradiction is the wedge. </w:t>
      </w:r>
      <w:r>
        <w:t xml:space="preserve">Halls froze FFG’s payments and admitted installing Diversitas “at the request of the agency”; Lundgren wrote on 6 October 2022 that “the Agency has not directed Assist Plan Managers to cease all payments.” Put the NDIA to its election — was Halls </w:t>
      </w:r>
      <w:r>
        <w:rPr>
          <w:i/>
          <w:iCs/>
        </w:rPr>
        <w:t xml:space="preserve">authorised</w:t>
      </w:r>
      <w:r>
        <w:t xml:space="preserve"> or </w:t>
      </w:r>
      <w:r>
        <w:rPr>
          <w:i/>
          <w:iCs/>
        </w:rPr>
        <w:t xml:space="preserve">rogue</w:t>
      </w:r>
      <w:r>
        <w:t xml:space="preserve">? If authorised, the improper purpose binds the agency. If rogue, the referrals the Commission relied upon are tainted.</w:t>
      </w:r>
    </w:p>
    <w:p>
      <w:pPr>
        <w:spacing w:after="120"/>
      </w:pPr>
      <w:r>
        <w:rPr>
          <w:b/>
          <w:bCs/>
        </w:rPr>
        <w:t xml:space="preserve">Then put the Commission to its election — </w:t>
      </w:r>
      <w:r>
        <w:t xml:space="preserve">own the NDIA material (and wear the improper-purpose taint, and the contradiction with the AGS’s 11 March 2025 “no current criminal investigation … as relayed”), or disclaim it (and lose the spine of its case). Frame the demand coldly: these specific records are necessary to determine whether the Commission’s case rests on NDIA conduct that was unauthorised, improper or materially incomplete. The shield depends on keeping the two matters apart; the wedge is to bind them to the same documents, the same officers and the same questions, so the Commonwealth must answer consistently across both.</w:t>
      </w:r>
    </w:p>
    <w:p>
      <w:pPr>
        <w:pStyle w:val="Heading1"/>
      </w:pPr>
      <w:r>
        <w:t xml:space="preserve">7. Route C — the Federal Court: make the NDIA a respondent</w:t>
      </w:r>
    </w:p>
    <w:p>
      <w:pPr>
        <w:spacing w:after="120"/>
      </w:pPr>
      <w:r>
        <w:rPr>
          <w:b/>
          <w:bCs/>
        </w:rPr>
        <w:t xml:space="preserve">What it achieves: </w:t>
      </w:r>
      <w:r>
        <w:t xml:space="preserve">removes the shield entirely — the NDIA is the respondent, and Halls and Lundgren are personally exposed.</w:t>
      </w:r>
    </w:p>
    <w:p>
      <w:pPr>
        <w:pStyle w:val="ListParagraph"/>
        <w:numPr>
          <w:ilvl w:val="0"/>
          <w:numId w:val="3"/>
        </w:numPr>
        <w:spacing w:after="60"/>
      </w:pPr>
      <w:r>
        <w:rPr>
          <w:b/>
          <w:bCs/>
        </w:rPr>
        <w:t xml:space="preserve">s 39B Judiciary Act judicial review </w:t>
      </w:r>
      <w:r>
        <w:t xml:space="preserve">of the NDIA’s own decisions and conduct — the payment-freeze direction, the “request for service” reallocation, the system “alerts” — for improper purpose and beyond power (Padfield; R v Toohey; Thompson v Randwick).</w:t>
      </w:r>
    </w:p>
    <w:p>
      <w:pPr>
        <w:pStyle w:val="ListParagraph"/>
        <w:numPr>
          <w:ilvl w:val="0"/>
          <w:numId w:val="3"/>
        </w:numPr>
        <w:spacing w:after="60"/>
      </w:pPr>
      <w:r>
        <w:rPr>
          <w:b/>
          <w:bCs/>
        </w:rPr>
        <w:t xml:space="preserve">Misfeasance in public office </w:t>
      </w:r>
      <w:r>
        <w:t xml:space="preserve">against Halls and Lundgren personally, with the Commonwealth vicariously liable (Northern Territory v Mengel; Sanders v Snell). It is the only path to damages and the only way to name them as wrongdoers — built from the documents, not pleaded on suspicion. Protect the limitation position now (tort ≈ 6 years from the 2022 conduct).</w:t>
      </w:r>
    </w:p>
    <w:p>
      <w:pPr>
        <w:pStyle w:val="ListParagraph"/>
        <w:numPr>
          <w:ilvl w:val="0"/>
          <w:numId w:val="3"/>
        </w:numPr>
        <w:spacing w:after="60"/>
      </w:pPr>
      <w:r>
        <w:rPr>
          <w:b/>
          <w:bCs/>
        </w:rPr>
        <w:t xml:space="preserve">Discovery the ART cannot give: </w:t>
      </w:r>
      <w:r>
        <w:t xml:space="preserve">FCR r 7.23 (preliminary, to identify respondents if needed), r 20.15 (category) and r 20.23 (non-party, against Diversitas and Nurse Assist 24/7).</w:t>
      </w:r>
    </w:p>
    <w:p>
      <w:pPr>
        <w:pStyle w:val="Heading1"/>
      </w:pPr>
      <w:r>
        <w:t xml:space="preserve">8. How the FOI program feeds this</w:t>
      </w:r>
    </w:p>
    <w:p>
      <w:pPr>
        <w:spacing w:after="120"/>
      </w:pPr>
      <w:r>
        <w:t xml:space="preserve">The FOI requests already drafted are the parallel, free-to-use build: the NDIA/Halls FOI and the CDPP FOI produce material you can plead in the federal case </w:t>
      </w:r>
      <w:r>
        <w:rPr>
          <w:i/>
          <w:iCs/>
        </w:rPr>
        <w:t xml:space="preserve">and</w:t>
      </w:r>
      <w:r>
        <w:t xml:space="preserve"> tender in the ART without the implied-undertaking restriction that binds discovery. Keep the Tactical Intelligence Report and Project Archer file out of FOI — take them by process after discharging the 26 July 2024 non-disclosure orders. Add Lundgren and Jarratt to the named custodians in the NDIA FOI and the ART summons schedule.</w:t>
      </w:r>
    </w:p>
    <w:p>
      <w:pPr>
        <w:pStyle w:val="Heading1"/>
      </w:pPr>
      <w:r>
        <w:t xml:space="preserve">9. Risks and what to verify</w:t>
      </w:r>
    </w:p>
    <w:p>
      <w:pPr>
        <w:pStyle w:val="ListParagraph"/>
        <w:numPr>
          <w:ilvl w:val="0"/>
          <w:numId w:val="3"/>
        </w:numPr>
        <w:spacing w:after="60"/>
      </w:pPr>
      <w:r>
        <w:rPr>
          <w:b/>
          <w:bCs/>
        </w:rPr>
        <w:t xml:space="preserve">The ART may treat provenance as weight, not admissibility, </w:t>
      </w:r>
      <w:r>
        <w:t xml:space="preserve">and rely on the material anyway. The robust remedy for NDIA conduct is the Federal Court — but Route A still forces the election and damages the Commission’s independence case.</w:t>
      </w:r>
    </w:p>
    <w:p>
      <w:pPr>
        <w:pStyle w:val="ListParagraph"/>
        <w:numPr>
          <w:ilvl w:val="0"/>
          <w:numId w:val="3"/>
        </w:numPr>
        <w:spacing w:after="60"/>
      </w:pPr>
      <w:r>
        <w:rPr>
          <w:b/>
          <w:bCs/>
        </w:rPr>
        <w:t xml:space="preserve">Federal Court cost and proof. </w:t>
      </w:r>
      <w:r>
        <w:t xml:space="preserve">Costs follow the event (unlike the ART); improper purpose is hard-won; the misfeasance mental element is a high bar. Its early value is leverage and limitation protection, not immediate judgment.</w:t>
      </w:r>
    </w:p>
    <w:p>
      <w:pPr>
        <w:pStyle w:val="ListParagraph"/>
        <w:numPr>
          <w:ilvl w:val="0"/>
          <w:numId w:val="3"/>
        </w:numPr>
        <w:spacing w:after="60"/>
      </w:pPr>
      <w:r>
        <w:rPr>
          <w:b/>
          <w:bCs/>
        </w:rPr>
        <w:t xml:space="preserve">Pin the people. </w:t>
      </w:r>
      <w:r>
        <w:t xml:space="preserve">Confirm Halls’s and Lundgren’s exact titles and agency from the primary emails (Halls is well-sourced; confirm Lundgren’s role and that the 6 Oct 2022 line is hers).</w:t>
      </w:r>
    </w:p>
    <w:p>
      <w:pPr>
        <w:pStyle w:val="ListParagraph"/>
        <w:numPr>
          <w:ilvl w:val="0"/>
          <w:numId w:val="3"/>
        </w:numPr>
        <w:spacing w:after="60"/>
      </w:pPr>
      <w:r>
        <w:rPr>
          <w:b/>
          <w:bCs/>
        </w:rPr>
        <w:t xml:space="preserve">Re-confirm the brief quotes. </w:t>
      </w:r>
      <w:r>
        <w:t xml:space="preserve">The EC22-002103 / Project Archer quotations are [VERIFY]-tagged in your drafts — check them against the primary brief before any filing.</w:t>
      </w:r>
    </w:p>
    <w:p>
      <w:pPr>
        <w:pStyle w:val="ListParagraph"/>
        <w:numPr>
          <w:ilvl w:val="0"/>
          <w:numId w:val="3"/>
        </w:numPr>
        <w:spacing w:after="60"/>
      </w:pPr>
      <w:r>
        <w:rPr>
          <w:b/>
          <w:bCs/>
        </w:rPr>
        <w:t xml:space="preserve">Standing caveat. </w:t>
      </w:r>
      <w:r>
        <w:t xml:space="preserve">Nothing here concedes any wrongdoing by any applicant; the Commission’s case is contested in its entirety. Halls’s and Lundgren’s conduct is to be tested by process, and the improper purpose proved from documents — not asserted as fact in the ART.</w:t>
      </w:r>
    </w:p>
    <w:p>
      <w:pPr>
        <w:pStyle w:val="Heading1"/>
      </w:pPr>
      <w:r>
        <w:t xml:space="preserve">10. Next actions</w:t>
      </w:r>
    </w:p>
    <w:p>
      <w:pPr>
        <w:pStyle w:val="ListParagraph"/>
        <w:numPr>
          <w:ilvl w:val="0"/>
          <w:numId w:val="2"/>
        </w:numPr>
        <w:spacing w:after="60"/>
      </w:pPr>
      <w:r>
        <w:rPr>
          <w:b/>
          <w:bCs/>
        </w:rPr>
        <w:t xml:space="preserve">Finalise the independence/taint contention </w:t>
      </w:r>
      <w:r>
        <w:t xml:space="preserve">in the amended SoFIC (clean-anchor-first).</w:t>
      </w:r>
    </w:p>
    <w:p>
      <w:pPr>
        <w:pStyle w:val="ListParagraph"/>
        <w:numPr>
          <w:ilvl w:val="0"/>
          <w:numId w:val="2"/>
        </w:numPr>
        <w:spacing w:after="60"/>
      </w:pPr>
      <w:r>
        <w:rPr>
          <w:b/>
          <w:bCs/>
        </w:rPr>
        <w:t xml:space="preserve">Draft the ART summons / production schedule </w:t>
      </w:r>
      <w:r>
        <w:t xml:space="preserve">to the NDIA, Halls, Lundgren, Graydon and Jarratt — I can draft this next.</w:t>
      </w:r>
    </w:p>
    <w:p>
      <w:pPr>
        <w:pStyle w:val="ListParagraph"/>
        <w:numPr>
          <w:ilvl w:val="0"/>
          <w:numId w:val="2"/>
        </w:numPr>
        <w:spacing w:after="60"/>
      </w:pPr>
      <w:r>
        <w:rPr>
          <w:b/>
          <w:bCs/>
        </w:rPr>
        <w:t xml:space="preserve">Draft the “election” letter </w:t>
      </w:r>
      <w:r>
        <w:t xml:space="preserve">to the AGS/Commission (own-or-disclaim the NDIA material) — I can draft this next.</w:t>
      </w:r>
    </w:p>
    <w:p>
      <w:pPr>
        <w:pStyle w:val="ListParagraph"/>
        <w:numPr>
          <w:ilvl w:val="0"/>
          <w:numId w:val="2"/>
        </w:numPr>
        <w:spacing w:after="60"/>
      </w:pPr>
      <w:r>
        <w:rPr>
          <w:b/>
          <w:bCs/>
        </w:rPr>
        <w:t xml:space="preserve">Lodge the NDIA/Halls and CDPP FOIs </w:t>
      </w:r>
      <w:r>
        <w:t xml:space="preserve">(already drafted); add Lundgren and Jarratt as custodians.</w:t>
      </w:r>
    </w:p>
    <w:p>
      <w:pPr>
        <w:pStyle w:val="ListParagraph"/>
        <w:numPr>
          <w:ilvl w:val="0"/>
          <w:numId w:val="2"/>
        </w:numPr>
        <w:spacing w:after="60"/>
      </w:pPr>
      <w:r>
        <w:rPr>
          <w:b/>
          <w:bCs/>
        </w:rPr>
        <w:t xml:space="preserve">Build the s 39B + misfeasance respondent matrix </w:t>
      </w:r>
      <w:r>
        <w:t xml:space="preserve">(Halls, Lundgren, Commonwealth) and diarise the limitation date.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Reid — defeating the Commission shield — 26 June 2026 —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PRIVILEGED &amp; CONFIDENTIAL — prepared to brief counsel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30" w:before="260"/>
      <w:outlineLvl w:val="0"/>
    </w:pPr>
    <w:rPr>
      <w:rFonts w:ascii="Arial" w:cs="Arial" w:eastAsia="Arial" w:hAnsi="Arial"/>
      <w:b/>
      <w:bCs/>
      <w:color w:val="1F3864"/>
      <w:sz w:val="27"/>
      <w:szCs w:val="27"/>
    </w:rPr>
  </w:style>
  <w:style w:type="paragraph" w:styleId="Heading2">
    <w:name w:val="Heading 2"/>
    <w:basedOn w:val="Normal"/>
    <w:next w:val="Normal"/>
    <w:qFormat/>
    <w:pPr>
      <w:spacing w:after="90" w:before="18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to brief counsel</dc:creator>
  <cp:lastModifiedBy>Un-named</cp:lastModifiedBy>
  <cp:revision>1</cp:revision>
  <dcterms:created xsi:type="dcterms:W3CDTF">2026-06-26T02:36:05.103Z</dcterms:created>
  <dcterms:modified xsi:type="dcterms:W3CDTF">2026-06-26T02:36:05.115Z</dcterms:modified>
</cp:coreProperties>
</file>

<file path=docProps/custom.xml><?xml version="1.0" encoding="utf-8"?>
<Properties xmlns="http://schemas.openxmlformats.org/officeDocument/2006/custom-properties" xmlns:vt="http://schemas.openxmlformats.org/officeDocument/2006/docPropsVTypes"/>
</file>