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</w:rPr>
        <w:t xml:space="preserve">CONSTITUTIONAL ASSESSMENT — COORDINATED MULTI-AGENCY ACTION</w:t>
      </w:r>
    </w:p>
    <w:p>
      <w:pPr>
        <w:spacing w:after="30"/>
        <w:jc w:val="center"/>
      </w:pPr>
      <w:r>
        <w:t xml:space="preserve">Fraud Fusion Taskforce; NDIA · NDIS Commission · CDPP · AFP · ABF (Home Affairs) · ATO</w:t>
      </w:r>
    </w:p>
    <w:p>
      <w:pPr>
        <w:spacing w:after="140"/>
        <w:jc w:val="center"/>
      </w:pPr>
      <w:r>
        <w:rPr>
          <w:i/>
          <w:iCs/>
        </w:rPr>
        <w:t xml:space="preserve">Companion to Reid v NDIA — working memo to brief counsel — 14 June 2026</w:t>
      </w:r>
    </w:p>
    <w:p>
      <w:pPr>
        <w:spacing w:after="120" w:line="276"/>
      </w:pPr>
      <w:r>
        <w:rPr>
          <w:b/>
          <w:bCs/>
        </w:rPr>
        <w:t xml:space="preserve">Status and caveat.  </w:t>
      </w:r>
      <w:r>
        <w:t xml:space="preserve">Working analysis to brief counsel; not legal advice and not for filing. It is deliberately even-handed: it identifies where the constitutional arguments have real traction and where they do not, because over-claiming here would be a credibility risk. Authorities are tagged </w:t>
      </w:r>
      <w:r>
        <w:rPr>
          <w:b/>
          <w:bCs/>
          <w:color w:val="1F7A1F"/>
          <w:sz w:val="15"/>
          <w:szCs w:val="15"/>
        </w:rPr>
        <w:t xml:space="preserve">[VERIFIED]</w:t>
      </w:r>
      <w:r>
        <w:t xml:space="preserve"> or </w:t>
      </w:r>
      <w:r>
        <w:rPr>
          <w:b/>
          <w:bCs/>
          <w:color w:val="B00000"/>
          <w:sz w:val="15"/>
          <w:szCs w:val="15"/>
        </w:rPr>
        <w:t xml:space="preserve">[PIN]</w:t>
      </w:r>
      <w:r>
        <w:t xml:space="preserve">. Nothing concedes any fraud or wrongdoing by any applicant; the allegations are contested in their entirety.</w:t>
      </w:r>
    </w:p>
    <w:p>
      <w:pPr>
        <w:pStyle w:val="Heading1"/>
      </w:pPr>
      <w:r>
        <w:t xml:space="preserve">The question, and the honest short answer</w:t>
      </w:r>
    </w:p>
    <w:p>
      <w:pPr>
        <w:spacing w:after="120" w:line="276"/>
      </w:pPr>
      <w:r>
        <w:rPr>
          <w:b/>
          <w:bCs/>
        </w:rPr>
        <w:t xml:space="preserve">Question.  </w:t>
      </w:r>
      <w:r>
        <w:t xml:space="preserve">Is the coordinated multi-agency action against the applicants — under the banner of the Fraud Fusion Taskforce, involving the NDIA, the NDIS Commission, the CDPP, the AFP, the ABF and the ATO — unconstitutional?</w:t>
      </w:r>
    </w:p>
    <w:p>
      <w:pPr>
        <w:spacing w:after="120" w:line="276"/>
      </w:pPr>
      <w:r>
        <w:rPr>
          <w:b/>
          <w:bCs/>
        </w:rPr>
        <w:t xml:space="preserve">Short answer.  </w:t>
      </w:r>
      <w:r>
        <w:t xml:space="preserve">Not as a single, freestanding proposition — and it is important to be candid about that. There is </w:t>
      </w:r>
      <w:r>
        <w:rPr>
          <w:b/>
          <w:bCs/>
        </w:rPr>
        <w:t xml:space="preserve">no “Fraud Fusion Taskforce” statute to strike down</w:t>
      </w:r>
      <w:r>
        <w:t xml:space="preserve">; the Taskforce is an administrative coordination arrangement, and each agency exercises its own ordinary statutory powers. Inter-agency coordination is not, of itself, unconstitutional. The real constitutional traction is narrower and mostly </w:t>
      </w:r>
      <w:r>
        <w:rPr>
          <w:b/>
          <w:bCs/>
        </w:rPr>
        <w:t xml:space="preserve">defensive</w:t>
      </w:r>
      <w:r>
        <w:t xml:space="preserve">: it lies in Chapter III’s protection of a fair trial and against abuse of process, in the privilege against self-incrimination, and — combined with ordinary administrative law — in each agency having acted beyond power or for an improper/collateral purpose. Those are the arguments worth running; a blanket “the Taskforce is unconstitutional” claim is not.</w:t>
      </w:r>
    </w:p>
    <w:p>
      <w:pPr>
        <w:pStyle w:val="Heading1"/>
      </w:pPr>
      <w:r>
        <w:t xml:space="preserve">1.  There is no “Fraud Fusion Taskforce law” to attack</w:t>
      </w:r>
    </w:p>
    <w:p>
      <w:pPr>
        <w:spacing w:after="120" w:line="276"/>
      </w:pPr>
      <w:r>
        <w:t xml:space="preserve">The Fraud Fusion Taskforce is a Commonwealth operational/administrative construct (a multi-agency taskforce, co-led by the NDIA and Services Australia, launched November 2022). It is not a statute and confers no special coercive powers. Each participating agency acts under its own Act — the NDIA under the </w:t>
      </w:r>
      <w:r>
        <w:rPr>
          <w:i/>
          <w:iCs/>
        </w:rPr>
        <w:t xml:space="preserve">National Disability Insurance Scheme Act 2013</w:t>
      </w:r>
      <w:r>
        <w:t xml:space="preserve"> (Cth); the CDPP under the </w:t>
      </w:r>
      <w:r>
        <w:rPr>
          <w:i/>
          <w:iCs/>
        </w:rPr>
        <w:t xml:space="preserve">Director of Public Prosecutions Act 1983</w:t>
      </w:r>
      <w:r>
        <w:t xml:space="preserve"> (Cth); the AFP under the </w:t>
      </w:r>
      <w:r>
        <w:rPr>
          <w:i/>
          <w:iCs/>
        </w:rPr>
        <w:t xml:space="preserve">Crimes Act 1914</w:t>
      </w:r>
      <w:r>
        <w:t xml:space="preserve"> / </w:t>
      </w:r>
      <w:r>
        <w:rPr>
          <w:i/>
          <w:iCs/>
        </w:rPr>
        <w:t xml:space="preserve">Australian Federal Police Act 1979</w:t>
      </w:r>
      <w:r>
        <w:t xml:space="preserve">; the ABF under the </w:t>
      </w:r>
      <w:r>
        <w:rPr>
          <w:i/>
          <w:iCs/>
        </w:rPr>
        <w:t xml:space="preserve">Customs Act 1901</w:t>
      </w:r>
      <w:r>
        <w:t xml:space="preserve"> (and Migration/border powers); the ATO under the </w:t>
      </w:r>
      <w:r>
        <w:rPr>
          <w:i/>
          <w:iCs/>
        </w:rPr>
        <w:t xml:space="preserve">Taxation Administration Act 1953</w:t>
      </w:r>
      <w:r>
        <w:rPr>
          <w:b/>
          <w:bCs/>
          <w:color w:val="B00000"/>
          <w:sz w:val="15"/>
          <w:szCs w:val="15"/>
        </w:rPr>
        <w:t xml:space="preserve"> [PIN]</w:t>
      </w:r>
      <w:r>
        <w:t xml:space="preserve">. The consequence: there is no single instrument whose validity can be challenged. The constitutional questions attach to (a) each agency’s exercise of its own powers, and (b) whether the aggregate subverted a constitutionally protected process.</w:t>
      </w:r>
    </w:p>
    <w:p>
      <w:pPr>
        <w:pStyle w:val="Heading1"/>
      </w:pPr>
      <w:r>
        <w:t xml:space="preserve">2.  Coordination is not, of itself, unconstitutional — where it becomes unlawful</w:t>
      </w:r>
    </w:p>
    <w:p>
      <w:pPr>
        <w:spacing w:after="120" w:line="276"/>
      </w:pPr>
      <w:r>
        <w:t xml:space="preserve">The Commonwealth executive has no general power to act or spend absent statutory (or other recognised) authority: </w:t>
      </w:r>
      <w:r>
        <w:rPr>
          <w:i/>
          <w:iCs/>
        </w:rPr>
        <w:t xml:space="preserve">Williams v Commonwealth (No 1) </w:t>
      </w:r>
      <w:r>
        <w:t xml:space="preserve">(2012) 248 CLR 156</w:t>
      </w:r>
      <w:r>
        <w:rPr>
          <w:b/>
          <w:bCs/>
          <w:color w:val="1F7A1F"/>
          <w:sz w:val="15"/>
          <w:szCs w:val="15"/>
        </w:rPr>
        <w:t xml:space="preserve"> [VERIFIED]</w:t>
      </w:r>
      <w:r>
        <w:t xml:space="preserve">. But coordinating the exercise of powers each agency already holds is lawful. Coordination crosses the line when (i) an agency acts outside its statutory power or for a purpose other than that for which the power was conferred (</w:t>
      </w:r>
      <w:r>
        <w:rPr>
          <w:i/>
          <w:iCs/>
        </w:rPr>
        <w:t xml:space="preserve">Padfield v Minister of Agriculture </w:t>
      </w:r>
      <w:r>
        <w:t xml:space="preserve">[1968] AC 997</w:t>
      </w:r>
      <w:r>
        <w:rPr>
          <w:b/>
          <w:bCs/>
          <w:color w:val="1F7A1F"/>
          <w:sz w:val="15"/>
          <w:szCs w:val="15"/>
        </w:rPr>
        <w:t xml:space="preserve"> [VERIFIED]</w:t>
      </w:r>
      <w:r>
        <w:t xml:space="preserve">); or (ii) the coordinated conduct subverts a constitutionally protected process — most relevantly, the criminal process protected by Chapter III.</w:t>
      </w:r>
    </w:p>
    <w:p>
      <w:pPr>
        <w:pStyle w:val="Heading1"/>
      </w:pPr>
      <w:r>
        <w:t xml:space="preserve">3.  Where the real traction is</w:t>
      </w:r>
    </w:p>
    <w:p>
      <w:pPr>
        <w:pStyle w:val="Heading2"/>
      </w:pPr>
      <w:r>
        <w:t xml:space="preserve">3.1  Abuse of process / fair trial (Chapter III) — the strongest line</w:t>
      </w:r>
    </w:p>
    <w:p>
      <w:pPr>
        <w:spacing w:after="120" w:line="276"/>
      </w:pPr>
      <w:r>
        <w:t xml:space="preserve">Where coordinated agency conduct subverts the integrity of the criminal process, a court may permanently stay the prosecution. In </w:t>
      </w:r>
      <w:r>
        <w:rPr>
          <w:i/>
          <w:iCs/>
        </w:rPr>
        <w:t xml:space="preserve">Strickland (a pseudonym) v Commonwealth DPP </w:t>
      </w:r>
      <w:r>
        <w:t xml:space="preserve">(2018) 266 CLR 325</w:t>
      </w:r>
      <w:r>
        <w:rPr>
          <w:b/>
          <w:bCs/>
          <w:color w:val="1F7A1F"/>
          <w:sz w:val="15"/>
          <w:szCs w:val="15"/>
        </w:rPr>
        <w:t xml:space="preserve"> [VERIFIED]</w:t>
      </w:r>
      <w:r>
        <w:t xml:space="preserve">, the High Court stayed Commonwealth prosecutions because compulsory ACC examinations — disseminated to the AFP and CDPP — contravened the privilege against self-incrimination and tainted the process. See also </w:t>
      </w:r>
      <w:r>
        <w:rPr>
          <w:i/>
          <w:iCs/>
        </w:rPr>
        <w:t xml:space="preserve">Moti v The Queen </w:t>
      </w:r>
      <w:r>
        <w:t xml:space="preserve">(2011) 245 CLR 456</w:t>
      </w:r>
      <w:r>
        <w:rPr>
          <w:b/>
          <w:bCs/>
          <w:color w:val="1F7A1F"/>
          <w:sz w:val="15"/>
          <w:szCs w:val="15"/>
        </w:rPr>
        <w:t xml:space="preserve"> [VERIFIED]</w:t>
      </w:r>
      <w:r>
        <w:t xml:space="preserve"> (stay where the accused’s presence was procured unlawfully); </w:t>
      </w:r>
      <w:r>
        <w:rPr>
          <w:i/>
          <w:iCs/>
        </w:rPr>
        <w:t xml:space="preserve">Williams v Spautz </w:t>
      </w:r>
      <w:r>
        <w:t xml:space="preserve">(1992) 174 CLR 509</w:t>
      </w:r>
      <w:r>
        <w:rPr>
          <w:b/>
          <w:bCs/>
          <w:color w:val="1F7A1F"/>
          <w:sz w:val="15"/>
          <w:szCs w:val="15"/>
        </w:rPr>
        <w:t xml:space="preserve"> [VERIFIED]</w:t>
      </w:r>
      <w:r>
        <w:t xml:space="preserve"> (proceedings for a collateral/improper purpose); </w:t>
      </w:r>
      <w:r>
        <w:rPr>
          <w:i/>
          <w:iCs/>
        </w:rPr>
        <w:t xml:space="preserve">Jago v District Court (NSW) </w:t>
      </w:r>
      <w:r>
        <w:t xml:space="preserve">(1989) 168 CLR 23</w:t>
      </w:r>
      <w:r>
        <w:rPr>
          <w:b/>
          <w:bCs/>
          <w:color w:val="1F7A1F"/>
          <w:sz w:val="15"/>
          <w:szCs w:val="15"/>
        </w:rPr>
        <w:t xml:space="preserve"> [VERIFIED]</w:t>
      </w:r>
      <w:r>
        <w:t xml:space="preserve"> (the court’s power to prevent unfairness). </w:t>
      </w:r>
      <w:r>
        <w:rPr>
          <w:b/>
          <w:bCs/>
        </w:rPr>
        <w:t xml:space="preserve">Relevance:</w:t>
      </w:r>
      <w:r>
        <w:t xml:space="preserve"> if a criminal matter is revived, evidence of coordinated coercion or collateral purpose feeds an abuse-of-process stay.</w:t>
      </w:r>
    </w:p>
    <w:p>
      <w:pPr>
        <w:pStyle w:val="Heading2"/>
      </w:pPr>
      <w:r>
        <w:t xml:space="preserve">3.2  Privilege against self-incrimination / right to silence</w:t>
      </w:r>
    </w:p>
    <w:p>
      <w:pPr>
        <w:spacing w:after="120" w:line="276"/>
      </w:pPr>
      <w:r>
        <w:t xml:space="preserve">Compulsory civil or regulatory examination powers cannot be used to erode the position of a person facing criminal jeopardy: </w:t>
      </w:r>
      <w:r>
        <w:rPr>
          <w:i/>
          <w:iCs/>
        </w:rPr>
        <w:t xml:space="preserve">X7 v Australian Crime Commission </w:t>
      </w:r>
      <w:r>
        <w:t xml:space="preserve">(2013) 248 CLR 92</w:t>
      </w:r>
      <w:r>
        <w:rPr>
          <w:b/>
          <w:bCs/>
          <w:color w:val="1F7A1F"/>
          <w:sz w:val="15"/>
          <w:szCs w:val="15"/>
        </w:rPr>
        <w:t xml:space="preserve"> [VERIFIED]</w:t>
      </w:r>
      <w:r>
        <w:t xml:space="preserve"> (a charged person cannot be compulsorily examined about the charged offence); </w:t>
      </w:r>
      <w:r>
        <w:rPr>
          <w:i/>
          <w:iCs/>
        </w:rPr>
        <w:t xml:space="preserve">Lee v The Queen </w:t>
      </w:r>
      <w:r>
        <w:t xml:space="preserve">(2014) 253 CLR 455</w:t>
      </w:r>
      <w:r>
        <w:rPr>
          <w:b/>
          <w:bCs/>
          <w:color w:val="1F7A1F"/>
          <w:sz w:val="15"/>
          <w:szCs w:val="15"/>
        </w:rPr>
        <w:t xml:space="preserve"> [VERIFIED]</w:t>
      </w:r>
      <w:r>
        <w:t xml:space="preserve"> (dissemination of compelled evidence to police/prosecutors caused a miscarriage of justice). Foundational: </w:t>
      </w:r>
      <w:r>
        <w:rPr>
          <w:i/>
          <w:iCs/>
        </w:rPr>
        <w:t xml:space="preserve">Sorby v Commonwealth </w:t>
      </w:r>
      <w:r>
        <w:t xml:space="preserve">(1983) 152 CLR 281; </w:t>
      </w:r>
      <w:r>
        <w:rPr>
          <w:i/>
          <w:iCs/>
        </w:rPr>
        <w:t xml:space="preserve">Reid v Howard </w:t>
      </w:r>
      <w:r>
        <w:t xml:space="preserve">(1995) 184 CLR 1; </w:t>
      </w:r>
      <w:r>
        <w:rPr>
          <w:i/>
          <w:iCs/>
        </w:rPr>
        <w:t xml:space="preserve">Lee v NSW Crime Commission </w:t>
      </w:r>
      <w:r>
        <w:t xml:space="preserve">(2013) 251 CLR 196</w:t>
      </w:r>
      <w:r>
        <w:rPr>
          <w:b/>
          <w:bCs/>
          <w:color w:val="B00000"/>
          <w:sz w:val="15"/>
          <w:szCs w:val="15"/>
        </w:rPr>
        <w:t xml:space="preserve"> [PIN]</w:t>
      </w:r>
      <w:r>
        <w:t xml:space="preserve">. </w:t>
      </w:r>
      <w:r>
        <w:rPr>
          <w:b/>
          <w:bCs/>
        </w:rPr>
        <w:t xml:space="preserve">Relevance:</w:t>
      </w:r>
      <w:r>
        <w:t xml:space="preserve"> if ATO (or any) compulsory powers were used against an applicant while a criminal matter was on foot, that is a discrete and serious vulnerability for the State.</w:t>
      </w:r>
    </w:p>
    <w:p>
      <w:pPr>
        <w:pStyle w:val="Heading2"/>
      </w:pPr>
      <w:r>
        <w:t xml:space="preserve">3.3  No executive punishment without a court (Chapter III) — a ceiling, not a clear win</w:t>
      </w:r>
    </w:p>
    <w:p>
      <w:pPr>
        <w:spacing w:after="120" w:line="276"/>
      </w:pPr>
      <w:r>
        <w:t xml:space="preserve">Only a court may adjudge and punish criminal guilt; the executive may not: </w:t>
      </w:r>
      <w:r>
        <w:rPr>
          <w:i/>
          <w:iCs/>
        </w:rPr>
        <w:t xml:space="preserve">Chu Kheng Lim v Minister for Immigration </w:t>
      </w:r>
      <w:r>
        <w:t xml:space="preserve">(1992) 176 CLR 1</w:t>
      </w:r>
      <w:r>
        <w:rPr>
          <w:b/>
          <w:bCs/>
          <w:color w:val="1F7A1F"/>
          <w:sz w:val="15"/>
          <w:szCs w:val="15"/>
        </w:rPr>
        <w:t xml:space="preserve"> [VERIFIED]</w:t>
      </w:r>
      <w:r>
        <w:t xml:space="preserve">. The difficulty is that </w:t>
      </w:r>
      <w:r>
        <w:rPr>
          <w:i/>
          <w:iCs/>
        </w:rPr>
        <w:t xml:space="preserve">Lim</w:t>
      </w:r>
      <w:r>
        <w:t xml:space="preserve"> permits non-punitive executive action, and banning/exit measures are characterised as </w:t>
      </w:r>
      <w:r>
        <w:rPr>
          <w:b/>
          <w:bCs/>
        </w:rPr>
        <w:t xml:space="preserve">protective</w:t>
      </w:r>
      <w:r>
        <w:t xml:space="preserve">, not punitive (the Tribunal’s own framing in </w:t>
      </w:r>
      <w:r>
        <w:rPr>
          <w:i/>
          <w:iCs/>
        </w:rPr>
        <w:t xml:space="preserve">Abdullah </w:t>
      </w:r>
      <w:r>
        <w:t xml:space="preserve">[2026] ARTA 743</w:t>
      </w:r>
      <w:r>
        <w:rPr>
          <w:b/>
          <w:bCs/>
          <w:color w:val="1F7A1F"/>
          <w:sz w:val="15"/>
          <w:szCs w:val="15"/>
        </w:rPr>
        <w:t xml:space="preserve"> [VERIFIED]</w:t>
      </w:r>
      <w:r>
        <w:t xml:space="preserve">). So </w:t>
      </w:r>
      <w:r>
        <w:rPr>
          <w:i/>
          <w:iCs/>
        </w:rPr>
        <w:t xml:space="preserve">Lim</w:t>
      </w:r>
      <w:r>
        <w:t xml:space="preserve"> is best used as a frame — that a constellation of agencies inflicted punitive consequences (business destruction, device seizure, tax penalties) </w:t>
      </w:r>
      <w:r>
        <w:rPr>
          <w:i/>
          <w:iCs/>
        </w:rPr>
        <w:t xml:space="preserve">before any conviction</w:t>
      </w:r>
      <w:r>
        <w:t xml:space="preserve"> — rather than as a guaranteed invalidity argument. Run it candidly, as characterisation, not certainty.</w:t>
      </w:r>
    </w:p>
    <w:p>
      <w:pPr>
        <w:pStyle w:val="Heading2"/>
      </w:pPr>
      <w:r>
        <w:t xml:space="preserve">3.4  Improper purpose / want of power — the realistic, winnable line</w:t>
      </w:r>
    </w:p>
    <w:p>
      <w:pPr>
        <w:spacing w:after="120" w:line="276"/>
      </w:pPr>
      <w:r>
        <w:t xml:space="preserve">The most reliable arguments are administrative-law, not grand constitutional. Each agency must stay within its statute and its purpose. The NDIA had no power to ban/exit a provider (that is the Commission’s — see the companion application); ABF border-examination powers exist for border purposes, and using them “on behalf of another agency” for a domestic investigation is an improper purpose (the FOI records — “Law Enforcement interest”, “on behalf of another agency” — are the anchor); the ATO’s compulsion is for tax administration, not to pressure a litigant. These succeed on </w:t>
      </w:r>
      <w:r>
        <w:rPr>
          <w:i/>
          <w:iCs/>
        </w:rPr>
        <w:t xml:space="preserve">Padfield</w:t>
      </w:r>
      <w:r>
        <w:t xml:space="preserve"> grounds without needing a constitutional ruling.</w:t>
      </w:r>
    </w:p>
    <w:p>
      <w:pPr>
        <w:pStyle w:val="Heading1"/>
      </w:pPr>
      <w:r>
        <w:t xml:space="preserve">4.  Agency-by-agency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26"/>
        <w:gridCol w:w="40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A2E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Agency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A2E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Power source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A2E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The specific vulnerability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NDIA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NDIS Act s 118 (delivery, payments, financial sustainability, payment-fraud response)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 provider-banning power — usurped the Commission (companion application); improper purpose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NDIS Commission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NDIS Act Ch 6A (ss 181E, 73ZM, 73ZN)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Banning is protective but requires procedural fairness (s 73ZN); reliance on tainted NDIA material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CDPP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Director of Public Prosecutions Act 1983 (Cth)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Prosecution built on tainted/coerced material or for a collateral purpose → abuse of process / stay (Strickland; Moti)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AFP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Crimes Act 1914 / AFP Act 1979 [PIN sections]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Search/seizure or examination beyond purpose; coordination tainting the fair trial (Strickland)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ABF (Home Affairs)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Customs Act 1901 border-examination powers [PIN section]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Border powers used “on behalf of another agency” for a domestic-investigation purpose → improper purpose (FOI records)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ATO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Taxation Administration Act 1953 compulsory powers [PIN]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Compulsion against a person in criminal jeopardy → self-incrimination (X7; Lee); unexplained penalties as collateral pressure</w:t>
            </w:r>
          </w:p>
        </w:tc>
      </w:tr>
    </w:tbl>
    <w:p>
      <w:pPr>
        <w:pStyle w:val="Heading1"/>
      </w:pPr>
      <w:r>
        <w:t xml:space="preserve">5.  Realistic forums, and the bottom line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Not a “strike down the Taskforce” suit. </w:t>
      </w:r>
      <w:r>
        <w:t xml:space="preserve">There is no statute to invalidate, and the underlying powers are valid. A freestanding constitutional challenge to the Fraud Fusion Taskforce would fail and would cost credibility.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The constitutional arguments are shields and levers within three realistic forums: </w:t>
      </w:r>
      <w:r>
        <w:t xml:space="preserve">(a) an abuse-of-process stay in any revived criminal proceeding (Chapter III; Strickland line); (b) judicial review and misfeasance of each agency’s conduct (improper purpose / want of power); and (c) oversight — NACC, the Commonwealth Ombudsman, IGIS (for any surveillance/interception), and the OAIC (the FOI reviews).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Lead with the verified and the administrative-law. </w:t>
      </w:r>
      <w:r>
        <w:t xml:space="preserve">The Padfield/improper-purpose and the NDIA-vs-Commission want-of-power arguments are the engine; the Chapter III and self-incrimination points are powerful but defensive and fact-contingent; the Lim “punishment without trial” framing is rhetorical support, not a standalone ground.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Preserve the record now: </w:t>
      </w:r>
      <w:r>
        <w:t xml:space="preserve">the self-incrimination point requires identifying any compulsory process used while criminal jeopardy existed; the abuse-of-process point requires the coordination/provenance evidence (the summons and FOI strategy in the matrix). Build before asserting.</w:t>
      </w:r>
    </w:p>
    <w:p>
      <w:pPr>
        <w:pStyle w:val="Heading1"/>
      </w:pPr>
      <w:r>
        <w:t xml:space="preserve">Authorities — quick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26"/>
        <w:gridCol w:w="150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A2E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Authority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A2E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Proposition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A2E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Williams v Commonwealth (No 1) (2012) 248 CLR 156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Executive needs statutory authority to act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Strickland v Commonwealth DPP (2018) 266 CLR 325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Coordinated coercion subverting due process → permanent stay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X7 v Australian Crime Commission (2013) 248 CLR 92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 compulsory examination of a charged person re the charge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Lee v The Queen (2014) 253 CLR 455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Dissemination of compelled evidence → miscarriage of justice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Moti v The Queen (2011) 245 CLR 456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Stay where process abused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Williams v Spautz (1992) 174 CLR 509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Proceedings for a collateral/improper purpose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Jago v District Court (NSW) (1989) 168 CLR 23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Court’s power to prevent unfair process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Chu Kheng Lim (1992) 176 CLR 1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Only a court may adjudge/punish guilt (executive: non-punitive only)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Padfield [1968] AC 997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Power for an extraneous purpose is invalid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Sorby (1983) 152 CLR 281; Reid v Howard (1995) 184 CLR 1; Lee v NSWCC (2013) 251 CLR 196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Self-incrimination foundations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PIN</w:t>
            </w:r>
          </w:p>
        </w:tc>
      </w:tr>
    </w:tbl>
    <w:p>
      <w:pPr>
        <w:spacing w:before="160"/>
      </w:pPr>
      <w:r>
        <w:rPr>
          <w:b/>
          <w:bCs/>
        </w:rPr>
        <w:t xml:space="preserve">Dated: </w:t>
      </w:r>
      <w:r>
        <w:t xml:space="preserve">14 June 2026.  Prepared to brief counsel; for settling by counsel. Read with Reid v NDIA (working draft v3) and the Evidence Matrix v3.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5"/>
        <w:szCs w:val="15"/>
      </w:rPr>
      <w:t xml:space="preserve">Constitutional assessment — multi-agency / Fraud Fusion (working memo, 14 June 2026) — not for filing — 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4A2E6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6A4A8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2026-06-14T07:31:08.559Z</dcterms:created>
  <dcterms:modified xsi:type="dcterms:W3CDTF">2026-06-14T07:31:08.559Z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