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32"/>
          <w:szCs w:val="32"/>
        </w:rPr>
        <w:t xml:space="preserve">FOI Strategy v2 — aligned to the federal (s 39B) case and the ART matter</w:t>
      </w:r>
    </w:p>
    <w:p>
      <w:pPr>
        <w:spacing w:after="40"/>
      </w:pPr>
      <w:r>
        <w:rPr>
          <w:color w:val="595959"/>
          <w:sz w:val="20"/>
          <w:szCs w:val="20"/>
        </w:rPr>
        <w:t xml:space="preserve">Reid v NDIS Commission / NDIA — ART 2023/3361, 2023/3363, 2023/4494; contemplated Reid v NDIA (Federal Court, s 39B)</w:t>
      </w:r>
    </w:p>
    <w:p>
      <w:pPr>
        <w:spacing w:after="60"/>
      </w:pPr>
      <w:r>
        <w:rPr>
          <w:i/>
          <w:iCs/>
          <w:color w:val="595959"/>
          <w:sz w:val="18"/>
          <w:szCs w:val="18"/>
        </w:rPr>
        <w:t xml:space="preserve">26 June 2026 · supersedes v1 (26 June 2026) · prepared to brief counsel · not legal advice</w:t>
      </w:r>
    </w:p>
    <w:p>
      <w:pPr>
        <w:pStyle w:val="Heading1"/>
      </w:pPr>
      <w:r>
        <w:t xml:space="preserve">1. Bottom line</w:t>
      </w:r>
    </w:p>
    <w:p>
      <w:pPr>
        <w:spacing w:after="120"/>
      </w:pPr>
      <w:r>
        <w:rPr>
          <w:b/>
          <w:bCs/>
        </w:rPr>
        <w:t xml:space="preserve">FOI is the right tool for this stage precisely because the litigation is not yet fully on foot. </w:t>
      </w:r>
      <w:r>
        <w:t xml:space="preserve">The ART can only reach the Commission; the NDIA — the body whose conduct is the real grievance — cannot be compelled until the s 39B proceeding is filed. Until then, FOI is the only lever that touches the NDIA, and it is the only channel that produces documents you can use </w:t>
      </w:r>
      <w:r>
        <w:rPr>
          <w:i/>
          <w:iCs/>
        </w:rPr>
        <w:t xml:space="preserve">anywhere</w:t>
      </w:r>
      <w:r>
        <w:t xml:space="preserve"> — to plead the federal case, run the ART, and brief oversight bodies — without the implied-undertaking restriction that binds discovery and tribunal production (see §3).</w:t>
      </w:r>
    </w:p>
    <w:p>
      <w:pPr>
        <w:spacing w:after="120"/>
      </w:pPr>
      <w:r>
        <w:rPr>
          <w:b/>
          <w:bCs/>
        </w:rPr>
        <w:t xml:space="preserve">So run FOI now as the parallel build, but route deliberately. </w:t>
      </w:r>
      <w:r>
        <w:t xml:space="preserve">Use FOI for personal-information files, the banning-order decision records, policy/protocol documents and the CDPP status facts. Reserve the contested NDIA conduct material — Halls↔competitor comms, the 'request for service' records, and especially the Project Archer / Tactical Intelligence Report (locked by the 26 July 2024 non-disclosure orders) — for compulsory process, where you can challenge exemptions and cross-examine. The routing matrix at §6 maps every target to its channel.</w:t>
      </w:r>
    </w:p>
    <w:p>
      <w:pPr>
        <w:spacing w:after="120"/>
      </w:pPr>
      <w:r>
        <w:t xml:space="preserve">Two fresh FOIs are the priority (CDPP; NDIS Commission/Halls), a third is narrow (NDIA/Halls), and three are second-tier (Services Australia; Home Affairs re-scope; AFP re-scope). Send-ready emails for all six are in the companion document.</w:t>
      </w:r>
    </w:p>
    <w:p>
      <w:pPr>
        <w:pStyle w:val="Heading1"/>
      </w:pPr>
      <w:r>
        <w:t xml:space="preserve">2. The three channels</w:t>
      </w:r>
    </w:p>
    <w:p>
      <w:pPr>
        <w:spacing w:after="120"/>
      </w:pPr>
      <w:r>
        <w:t xml:space="preserve">Treat FOI, ART production and Federal Court discovery as one coordinated program, not three silos. Each does something the others cannot: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060"/>
        <w:gridCol w:w="3400"/>
      </w:tblGrid>
      <w:tr>
        <w:trPr>
          <w:tblHeader/>
        </w:trPr>
        <w:tc>
          <w:tcPr>
            <w:tcW w:type="dxa" w:w="19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tcPr>
          <w:p>
            <w:pPr>
              <w:spacing w:after="0"/>
            </w:pPr>
            <w:r>
              <w:rPr>
                <w:b/>
                <w:bCs/>
                <w:color w:val="FFFFFF"/>
                <w:sz w:val="18"/>
                <w:szCs w:val="18"/>
              </w:rPr>
              <w:t xml:space="preserve">Channel</w:t>
            </w:r>
          </w:p>
        </w:tc>
        <w:tc>
          <w:tcPr>
            <w:tcW w:type="dxa" w:w="406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tcPr>
          <w:p>
            <w:pPr>
              <w:spacing w:after="0"/>
            </w:pPr>
            <w:r>
              <w:rPr>
                <w:b/>
                <w:bCs/>
                <w:color w:val="FFFFFF"/>
                <w:sz w:val="18"/>
                <w:szCs w:val="18"/>
              </w:rPr>
              <w:t xml:space="preserve">Best for</w:t>
            </w:r>
          </w:p>
        </w:tc>
        <w:tc>
          <w:tcPr>
            <w:tcW w:type="dxa" w:w="34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tcPr>
          <w:p>
            <w:pPr>
              <w:spacing w:after="0"/>
            </w:pPr>
            <w:r>
              <w:rPr>
                <w:b/>
                <w:bCs/>
                <w:color w:val="FFFFFF"/>
                <w:sz w:val="18"/>
                <w:szCs w:val="18"/>
              </w:rPr>
              <w:t xml:space="preserve">Key limitation in this matter</w:t>
            </w:r>
          </w:p>
        </w:tc>
      </w:tr>
      <w:tr>
        <w:trPr>
          <w:tblHeader w:val="false"/>
        </w:trPr>
        <w:tc>
          <w:tcPr>
            <w:tcW w:type="dxa" w:w="19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pPr>
            <w:r>
              <w:rPr>
                <w:b w:val="false"/>
                <w:bCs w:val="false"/>
                <w:color w:val="000000"/>
                <w:sz w:val="18"/>
                <w:szCs w:val="18"/>
              </w:rPr>
              <w:t xml:space="preserve">FOI Act 1982 (Cth)</w:t>
            </w:r>
          </w:p>
        </w:tc>
        <w:tc>
          <w:tcPr>
            <w:tcW w:type="dxa" w:w="406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pPr>
            <w:r>
              <w:rPr>
                <w:b w:val="false"/>
                <w:bCs w:val="false"/>
                <w:color w:val="000000"/>
                <w:sz w:val="18"/>
                <w:szCs w:val="18"/>
              </w:rPr>
              <w:t xml:space="preserve">Personal-information files; decision records; policy/protocol documents; the CDPP prosecutorial-status facts; anything you want to plead, quote, or hand to oversight bodies — because it is free of any use restriction.</w:t>
            </w:r>
          </w:p>
        </w:tc>
        <w:tc>
          <w:tcPr>
            <w:tcW w:type="dxa" w:w="34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pPr>
            <w:r>
              <w:rPr>
                <w:b w:val="false"/>
                <w:bCs w:val="false"/>
                <w:color w:val="000000"/>
                <w:sz w:val="18"/>
                <w:szCs w:val="18"/>
              </w:rPr>
              <w:t xml:space="preserve">Slow (30 days routinely blown; IC review 12–24 months); exemption-prone (ss 37, 42, 47E, 47F); agencies deflect live-matter documents. No cross-examination.</w:t>
            </w:r>
          </w:p>
        </w:tc>
      </w:tr>
      <w:tr>
        <w:trPr>
          <w:tblHeader w:val="false"/>
        </w:trPr>
        <w:tc>
          <w:tcPr>
            <w:tcW w:type="dxa" w:w="19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pPr>
            <w:r>
              <w:rPr>
                <w:b w:val="false"/>
                <w:bCs w:val="false"/>
                <w:color w:val="000000"/>
                <w:sz w:val="18"/>
                <w:szCs w:val="18"/>
              </w:rPr>
              <w:t xml:space="preserve">ART production (ss 23–28) &amp; summons (s 74)</w:t>
            </w:r>
          </w:p>
        </w:tc>
        <w:tc>
          <w:tcPr>
            <w:tcW w:type="dxa" w:w="406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pPr>
            <w:r>
              <w:rPr>
                <w:b w:val="false"/>
                <w:bCs w:val="false"/>
                <w:color w:val="000000"/>
                <w:sz w:val="18"/>
                <w:szCs w:val="18"/>
              </w:rPr>
              <w:t xml:space="preserve">Documents the Commission/NDIA actually relied on in the review — witness statements, the evidence behind the banning orders, the Halls correspondence around the tender bundle.</w:t>
            </w:r>
          </w:p>
        </w:tc>
        <w:tc>
          <w:tcPr>
            <w:tcW w:type="dxa" w:w="34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pPr>
            <w:r>
              <w:rPr>
                <w:b w:val="false"/>
                <w:bCs w:val="false"/>
                <w:color w:val="000000"/>
                <w:sz w:val="18"/>
                <w:szCs w:val="18"/>
              </w:rPr>
              <w:t xml:space="preserve">Confined to what is relevant to the review; reaches the Commission, not the NDIA as a party; material is subject to the implied undertaking (see §3).</w:t>
            </w:r>
          </w:p>
        </w:tc>
      </w:tr>
      <w:tr>
        <w:trPr>
          <w:tblHeader w:val="false"/>
        </w:trPr>
        <w:tc>
          <w:tcPr>
            <w:tcW w:type="dxa" w:w="19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pPr>
            <w:r>
              <w:rPr>
                <w:b w:val="false"/>
                <w:bCs w:val="false"/>
                <w:color w:val="000000"/>
                <w:sz w:val="18"/>
                <w:szCs w:val="18"/>
              </w:rPr>
              <w:t xml:space="preserve">Federal Court (FCR r 7.23 preliminary; r 20.15 category; r 20.23 non-party)</w:t>
            </w:r>
          </w:p>
        </w:tc>
        <w:tc>
          <w:tcPr>
            <w:tcW w:type="dxa" w:w="406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pPr>
            <w:r>
              <w:rPr>
                <w:b w:val="false"/>
                <w:bCs w:val="false"/>
                <w:color w:val="000000"/>
                <w:sz w:val="18"/>
                <w:szCs w:val="18"/>
              </w:rPr>
              <w:t xml:space="preserve">The NDIA's own conduct: Halls↔competitor communications, COI declarations, the 'request for service' reallocation, and non-party records from Nurse Assist 24/7 and Diversitas.</w:t>
            </w:r>
          </w:p>
        </w:tc>
        <w:tc>
          <w:tcPr>
            <w:tcW w:type="dxa" w:w="34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pPr>
            <w:r>
              <w:rPr>
                <w:b w:val="false"/>
                <w:bCs w:val="false"/>
                <w:color w:val="000000"/>
                <w:sz w:val="18"/>
                <w:szCs w:val="18"/>
              </w:rPr>
              <w:t xml:space="preserve">Only once the s 39B proceeding is on foot (r 7.23 can precede it to identify a respondent); costs follow the event; material is subject to the implied undertaking.</w:t>
            </w:r>
          </w:p>
        </w:tc>
      </w:tr>
    </w:tbl>
    <w:p>
      <w:pPr>
        <w:pStyle w:val="Heading1"/>
      </w:pPr>
      <w:r>
        <w:t xml:space="preserve">3. Why FOI is worth running now — the free-to-use advantage</w:t>
      </w:r>
    </w:p>
    <w:p>
      <w:pPr>
        <w:spacing w:after="120"/>
      </w:pPr>
      <w:r>
        <w:rPr>
          <w:b/>
          <w:bCs/>
        </w:rPr>
        <w:t xml:space="preserve">The decisive point. </w:t>
      </w:r>
      <w:r>
        <w:t xml:space="preserve">Documents produced under Federal Court discovery or ART summons are subject to the implied (Harman) undertaking: you may use them only for the proceeding in which they were produced. Documents released under FOI carry </w:t>
      </w:r>
      <w:r>
        <w:rPr>
          <w:b/>
          <w:bCs/>
        </w:rPr>
        <w:t xml:space="preserve">no such restriction</w:t>
      </w:r>
      <w:r>
        <w:t xml:space="preserve"> — they are, in practical effect, public. That difference is strategic gold in a two-front war:</w:t>
      </w:r>
    </w:p>
    <w:p>
      <w:pPr>
        <w:pStyle w:val="ListParagraph"/>
        <w:numPr>
          <w:ilvl w:val="0"/>
          <w:numId w:val="2"/>
        </w:numPr>
        <w:spacing w:after="60"/>
      </w:pPr>
      <w:r>
        <w:rPr>
          <w:b/>
          <w:bCs/>
        </w:rPr>
        <w:t xml:space="preserve">Cross-use. </w:t>
      </w:r>
      <w:r>
        <w:t xml:space="preserve">An FOI-released NDIA document can be pleaded in the s 39B case, tendered in the ART, and attached to a NACC or Ombudsman referral. A discovered version cannot, without leave.</w:t>
      </w:r>
    </w:p>
    <w:p>
      <w:pPr>
        <w:pStyle w:val="ListParagraph"/>
        <w:numPr>
          <w:ilvl w:val="0"/>
          <w:numId w:val="2"/>
        </w:numPr>
        <w:spacing w:after="60"/>
      </w:pPr>
      <w:r>
        <w:rPr>
          <w:b/>
          <w:bCs/>
        </w:rPr>
        <w:t xml:space="preserve">Pleading the federal case before you can compel. </w:t>
      </w:r>
      <w:r>
        <w:t xml:space="preserve">You need a documentary predicate to plead improper purpose and the misfeasance mental element. FOI of COI declarations and decision records helps you plead without first needing r 7.23 preliminary discovery.</w:t>
      </w:r>
    </w:p>
    <w:p>
      <w:pPr>
        <w:pStyle w:val="ListParagraph"/>
        <w:numPr>
          <w:ilvl w:val="0"/>
          <w:numId w:val="2"/>
        </w:numPr>
        <w:spacing w:after="60"/>
      </w:pPr>
      <w:r>
        <w:rPr>
          <w:b/>
          <w:bCs/>
        </w:rPr>
        <w:t xml:space="preserve">Framing reviewable decisions. </w:t>
      </w:r>
      <w:r>
        <w:t xml:space="preserve">FOI of the decision file helps identify the precise 'decisions' and conduct to challenge under s 39B / the ADJR grounds, and who made them.</w:t>
      </w:r>
    </w:p>
    <w:p>
      <w:pPr>
        <w:pStyle w:val="ListParagraph"/>
        <w:numPr>
          <w:ilvl w:val="0"/>
          <w:numId w:val="2"/>
        </w:numPr>
        <w:spacing w:after="60"/>
      </w:pPr>
      <w:r>
        <w:rPr>
          <w:b/>
          <w:bCs/>
        </w:rPr>
        <w:t xml:space="preserve">The election wedge. </w:t>
      </w:r>
      <w:r>
        <w:t xml:space="preserve">Asking the NDIA and the Commission the same questions in parallel, and banking their inconsistent answers and exemption claims, is itself evidence for the wedge — and it is on the public FOI record, not locked behind an undertaking.</w:t>
      </w:r>
    </w:p>
    <w:p>
      <w:pPr>
        <w:spacing w:after="120"/>
      </w:pPr>
      <w:r>
        <w:rPr>
          <w:b/>
          <w:bCs/>
          <w:i/>
          <w:iCs/>
        </w:rPr>
        <w:t xml:space="preserve">Caveat: </w:t>
      </w:r>
      <w:r>
        <w:rPr>
          <w:i/>
          <w:iCs/>
        </w:rPr>
        <w:t xml:space="preserve">confirm the precise position for ART-produced material with counsel; the implied undertaking plainly binds Federal Court discovery and is the orthodox position for compulsory production generally.</w:t>
      </w:r>
    </w:p>
    <w:p>
      <w:pPr>
        <w:pStyle w:val="Heading1"/>
      </w:pPr>
      <w:r>
        <w:t xml:space="preserve">4. The risks — and what NOT to FOI</w:t>
      </w:r>
    </w:p>
    <w:p>
      <w:pPr>
        <w:pStyle w:val="ListParagraph"/>
        <w:numPr>
          <w:ilvl w:val="0"/>
          <w:numId w:val="3"/>
        </w:numPr>
        <w:spacing w:after="60"/>
      </w:pPr>
      <w:r>
        <w:rPr>
          <w:b/>
          <w:bCs/>
        </w:rPr>
        <w:t xml:space="preserve">Tipping your hand. </w:t>
      </w:r>
      <w:r>
        <w:t xml:space="preserve">Each FOI is a roadmap of your theory. Acceptable for the personal-info and decision-file requests; not worth it for the bespoke conduct material you will subpoena anyway.</w:t>
      </w:r>
    </w:p>
    <w:p>
      <w:pPr>
        <w:pStyle w:val="ListParagraph"/>
        <w:numPr>
          <w:ilvl w:val="0"/>
          <w:numId w:val="3"/>
        </w:numPr>
        <w:spacing w:after="60"/>
      </w:pPr>
      <w:r>
        <w:rPr>
          <w:b/>
          <w:bCs/>
        </w:rPr>
        <w:t xml:space="preserve">s 37 in a live criminal context. </w:t>
      </w:r>
      <w:r>
        <w:t xml:space="preserve">If any criminal matter remains on foot, CDPP/AFP/NDIA can refuse under s 37. That refusal is useful (it confirms the matter is live, contradicting the AGS representation) — but you will not get the documents, so frame the CDPP request to also capture existence/status, which survives.</w:t>
      </w:r>
    </w:p>
    <w:p>
      <w:pPr>
        <w:pStyle w:val="ListParagraph"/>
        <w:numPr>
          <w:ilvl w:val="0"/>
          <w:numId w:val="3"/>
        </w:numPr>
        <w:spacing w:after="60"/>
      </w:pPr>
      <w:r>
        <w:rPr>
          <w:b/>
          <w:bCs/>
        </w:rPr>
        <w:t xml:space="preserve">Live-proceedings deflection. </w:t>
      </w:r>
      <w:r>
        <w:t xml:space="preserve">Expect 'seek it through the Tribunal/Court'. It is answerable — the FOI Act is not displaced by parallel litigation — but pre-empt it in the request (the emails do).</w:t>
      </w:r>
    </w:p>
    <w:p>
      <w:pPr>
        <w:pStyle w:val="ListParagraph"/>
        <w:numPr>
          <w:ilvl w:val="0"/>
          <w:numId w:val="3"/>
        </w:numPr>
        <w:spacing w:after="60"/>
      </w:pPr>
      <w:r>
        <w:rPr>
          <w:b/>
          <w:bCs/>
        </w:rPr>
        <w:t xml:space="preserve">Do not FOI the Tactical Intelligence Report / Project Archer file. </w:t>
      </w:r>
      <w:r>
        <w:t xml:space="preserve">They are under the 26 July 2024 non-disclosure orders. An FOI now buys a clean s 37/PII refusal that hardens the position you must later dislodge. Discharge or qualify those orders in the ART, then take the material by process.</w:t>
      </w:r>
    </w:p>
    <w:p>
      <w:pPr>
        <w:pStyle w:val="Heading1"/>
      </w:pPr>
      <w:r>
        <w:t xml:space="preserve">5. What each track needs from FOI</w:t>
      </w:r>
    </w:p>
    <w:p>
      <w:pPr>
        <w:pStyle w:val="Heading2"/>
      </w:pPr>
      <w:r>
        <w:t xml:space="preserve">The contemplated federal case (s 39B / misfeasance)</w:t>
      </w:r>
    </w:p>
    <w:p>
      <w:pPr>
        <w:pStyle w:val="ListParagraph"/>
        <w:numPr>
          <w:ilvl w:val="0"/>
          <w:numId w:val="2"/>
        </w:numPr>
        <w:spacing w:after="60"/>
      </w:pPr>
      <w:r>
        <w:rPr>
          <w:b/>
          <w:bCs/>
        </w:rPr>
        <w:t xml:space="preserve">Improper purpose &amp; beyond power: </w:t>
      </w:r>
      <w:r>
        <w:t xml:space="preserve">the NDIA decision/conduct records — the payment freeze direction, the 'request for service' reallocation, the system 'alerts' — and the Provider Exit Protocol.</w:t>
      </w:r>
    </w:p>
    <w:p>
      <w:pPr>
        <w:pStyle w:val="ListParagraph"/>
        <w:numPr>
          <w:ilvl w:val="0"/>
          <w:numId w:val="2"/>
        </w:numPr>
        <w:spacing w:after="60"/>
      </w:pPr>
      <w:r>
        <w:rPr>
          <w:b/>
          <w:bCs/>
        </w:rPr>
        <w:t xml:space="preserve">Misfeasance mental element: </w:t>
      </w:r>
      <w:r>
        <w:t xml:space="preserve">Halls's COI declarations (or their absence) and his contemporaneous communications — the documents from which knowledge or recklessness is proved.</w:t>
      </w:r>
    </w:p>
    <w:p>
      <w:pPr>
        <w:pStyle w:val="ListParagraph"/>
        <w:numPr>
          <w:ilvl w:val="0"/>
          <w:numId w:val="2"/>
        </w:numPr>
        <w:spacing w:after="60"/>
      </w:pPr>
      <w:r>
        <w:rPr>
          <w:b/>
          <w:bCs/>
        </w:rPr>
        <w:t xml:space="preserve">Respondent identification &amp; limitation: </w:t>
      </w:r>
      <w:r>
        <w:t xml:space="preserve">decision records that name the decision-makers; lodge now because the tort window (≈6 years from the 2022 conduct) is finite.</w:t>
      </w:r>
    </w:p>
    <w:p>
      <w:pPr>
        <w:pStyle w:val="Heading2"/>
      </w:pPr>
      <w:r>
        <w:t xml:space="preserve">The ongoing ART matter</w:t>
      </w:r>
    </w:p>
    <w:p>
      <w:pPr>
        <w:pStyle w:val="ListParagraph"/>
        <w:numPr>
          <w:ilvl w:val="0"/>
          <w:numId w:val="2"/>
        </w:numPr>
        <w:spacing w:after="60"/>
      </w:pPr>
      <w:r>
        <w:rPr>
          <w:b/>
          <w:bCs/>
        </w:rPr>
        <w:t xml:space="preserve">Undercutting 'suitability': </w:t>
      </w:r>
      <w:r>
        <w:t xml:space="preserve">the complete decision file behind the banning orders, plus the CDPP status facts that test the criminal basis the orders leaned on.</w:t>
      </w:r>
    </w:p>
    <w:p>
      <w:pPr>
        <w:pStyle w:val="ListParagraph"/>
        <w:numPr>
          <w:ilvl w:val="0"/>
          <w:numId w:val="2"/>
        </w:numPr>
        <w:spacing w:after="60"/>
      </w:pPr>
      <w:r>
        <w:rPr>
          <w:b/>
          <w:bCs/>
        </w:rPr>
        <w:t xml:space="preserve">The improper-purpose ground: </w:t>
      </w:r>
      <w:r>
        <w:t xml:space="preserve">FOI-released NDIA/Commission material can be pleaded directly into the amended SoFIC (free to use).</w:t>
      </w:r>
    </w:p>
    <w:p>
      <w:pPr>
        <w:pStyle w:val="ListParagraph"/>
        <w:numPr>
          <w:ilvl w:val="0"/>
          <w:numId w:val="2"/>
        </w:numPr>
        <w:spacing w:after="60"/>
      </w:pPr>
      <w:r>
        <w:rPr>
          <w:b/>
          <w:bCs/>
        </w:rPr>
        <w:t xml:space="preserve">The live s 70 non-disclosure application </w:t>
      </w:r>
      <w:r>
        <w:t xml:space="preserve">(over Attachment O/EC22-002103 and Attachment G/EC22-002521): FOI is a parallel route to the same underlying material — expect the Commission to resist on the same basis, but make it choose.</w:t>
      </w:r>
    </w:p>
    <w:p>
      <w:pPr>
        <w:pStyle w:val="Heading1"/>
      </w:pPr>
      <w:r>
        <w:t xml:space="preserve">6. Document-routing matrix</w:t>
      </w:r>
    </w:p>
    <w:p>
      <w:pPr>
        <w:spacing w:after="120"/>
      </w:pPr>
      <w:r>
        <w:t xml:space="preserve">Which document to chase through which channel. This is the operational heart of the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60"/>
        <w:gridCol w:w="2300"/>
        <w:gridCol w:w="3800"/>
      </w:tblGrid>
      <w:tr>
        <w:trPr>
          <w:tblHeader/>
        </w:trPr>
        <w:tc>
          <w:tcPr>
            <w:tcW w:type="dxa" w:w="326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tcPr>
          <w:p>
            <w:pPr>
              <w:spacing w:after="0"/>
            </w:pPr>
            <w:r>
              <w:rPr>
                <w:b/>
                <w:bCs/>
                <w:color w:val="FFFFFF"/>
                <w:sz w:val="18"/>
                <w:szCs w:val="18"/>
              </w:rPr>
              <w:t xml:space="preserve">Target document / category</w:t>
            </w:r>
          </w:p>
        </w:tc>
        <w:tc>
          <w:tcPr>
            <w:tcW w:type="dxa" w:w="23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tcPr>
          <w:p>
            <w:pPr>
              <w:spacing w:after="0"/>
            </w:pPr>
            <w:r>
              <w:rPr>
                <w:b/>
                <w:bCs/>
                <w:color w:val="FFFFFF"/>
                <w:sz w:val="18"/>
                <w:szCs w:val="18"/>
              </w:rPr>
              <w:t xml:space="preserve">Best channel</w:t>
            </w:r>
          </w:p>
        </w:tc>
        <w:tc>
          <w:tcPr>
            <w:tcW w:type="dxa" w:w="38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tcPr>
          <w:p>
            <w:pPr>
              <w:spacing w:after="0"/>
            </w:pPr>
            <w:r>
              <w:rPr>
                <w:b/>
                <w:bCs/>
                <w:color w:val="FFFFFF"/>
                <w:sz w:val="18"/>
                <w:szCs w:val="18"/>
              </w:rPr>
              <w:t xml:space="preserve">Why</w:t>
            </w:r>
          </w:p>
        </w:tc>
      </w:tr>
      <w:tr>
        <w:trPr>
          <w:tblHeader w:val="false"/>
        </w:trPr>
        <w:tc>
          <w:tcPr>
            <w:tcW w:type="dxa" w:w="3260"/>
            <w:tcBorders>
              <w:top w:val="single" w:color="BFBFBF" w:sz="1"/>
              <w:left w:val="single" w:color="BFBFBF" w:sz="1"/>
              <w:bottom w:val="single" w:color="BFBFBF" w:sz="1"/>
              <w:right w:val="single" w:color="BFBFBF" w:sz="1"/>
            </w:tcBorders>
            <w:shd w:fill="C6E0B4" w:val="clear"/>
            <w:tcMar>
              <w:top w:type="dxa" w:w="70"/>
              <w:left w:type="dxa" w:w="110"/>
              <w:bottom w:type="dxa" w:w="70"/>
              <w:right w:type="dxa" w:w="110"/>
            </w:tcMar>
          </w:tcPr>
          <w:p>
            <w:pPr>
              <w:spacing w:after="0"/>
            </w:pPr>
            <w:r>
              <w:rPr>
                <w:b w:val="false"/>
                <w:bCs w:val="false"/>
                <w:color w:val="000000"/>
                <w:sz w:val="18"/>
                <w:szCs w:val="18"/>
              </w:rPr>
              <w:t xml:space="preserve">Banning-order decision files (Simon EC22-002521; Vida EC22-002103)</w:t>
            </w:r>
          </w:p>
        </w:tc>
        <w:tc>
          <w:tcPr>
            <w:tcW w:type="dxa" w:w="2300"/>
            <w:tcBorders>
              <w:top w:val="single" w:color="BFBFBF" w:sz="1"/>
              <w:left w:val="single" w:color="BFBFBF" w:sz="1"/>
              <w:bottom w:val="single" w:color="BFBFBF" w:sz="1"/>
              <w:right w:val="single" w:color="BFBFBF" w:sz="1"/>
            </w:tcBorders>
            <w:shd w:fill="C6E0B4" w:val="clear"/>
            <w:tcMar>
              <w:top w:type="dxa" w:w="70"/>
              <w:left w:type="dxa" w:w="110"/>
              <w:bottom w:type="dxa" w:w="70"/>
              <w:right w:type="dxa" w:w="110"/>
            </w:tcMar>
          </w:tcPr>
          <w:p>
            <w:pPr>
              <w:spacing w:after="0"/>
            </w:pPr>
            <w:r>
              <w:rPr>
                <w:b w:val="false"/>
                <w:bCs w:val="false"/>
                <w:color w:val="000000"/>
                <w:sz w:val="18"/>
                <w:szCs w:val="18"/>
              </w:rPr>
              <w:t xml:space="preserve">FOI (Commission) + ART s 74</w:t>
            </w:r>
          </w:p>
        </w:tc>
        <w:tc>
          <w:tcPr>
            <w:tcW w:type="dxa" w:w="3800"/>
            <w:tcBorders>
              <w:top w:val="single" w:color="BFBFBF" w:sz="1"/>
              <w:left w:val="single" w:color="BFBFBF" w:sz="1"/>
              <w:bottom w:val="single" w:color="BFBFBF" w:sz="1"/>
              <w:right w:val="single" w:color="BFBFBF" w:sz="1"/>
            </w:tcBorders>
            <w:shd w:fill="C6E0B4" w:val="clear"/>
            <w:tcMar>
              <w:top w:type="dxa" w:w="70"/>
              <w:left w:type="dxa" w:w="110"/>
              <w:bottom w:type="dxa" w:w="70"/>
              <w:right w:type="dxa" w:w="110"/>
            </w:tcMar>
          </w:tcPr>
          <w:p>
            <w:pPr>
              <w:spacing w:after="0"/>
            </w:pPr>
            <w:r>
              <w:rPr>
                <w:b w:val="false"/>
                <w:bCs w:val="false"/>
                <w:color w:val="000000"/>
                <w:sz w:val="18"/>
                <w:szCs w:val="18"/>
              </w:rPr>
              <w:t xml:space="preserve">FOI yields a free-to-use copy of the whole file; ART compels the review-relevant version.</w:t>
            </w:r>
          </w:p>
        </w:tc>
      </w:tr>
      <w:tr>
        <w:trPr>
          <w:tblHeader w:val="false"/>
        </w:trPr>
        <w:tc>
          <w:tcPr>
            <w:tcW w:type="dxa" w:w="326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pPr>
            <w:r>
              <w:rPr>
                <w:b w:val="false"/>
                <w:bCs w:val="false"/>
                <w:color w:val="000000"/>
                <w:sz w:val="18"/>
                <w:szCs w:val="18"/>
              </w:rPr>
              <w:t xml:space="preserve">Witness statements relied on by the Commission</w:t>
            </w:r>
          </w:p>
        </w:tc>
        <w:tc>
          <w:tcPr>
            <w:tcW w:type="dxa" w:w="23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pPr>
            <w:r>
              <w:rPr>
                <w:b w:val="false"/>
                <w:bCs w:val="false"/>
                <w:color w:val="000000"/>
                <w:sz w:val="18"/>
                <w:szCs w:val="18"/>
              </w:rPr>
              <w:t xml:space="preserve">ART s 74 production</w:t>
            </w:r>
          </w:p>
        </w:tc>
        <w:tc>
          <w:tcPr>
            <w:tcW w:type="dxa" w:w="38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pPr>
            <w:r>
              <w:rPr>
                <w:b w:val="false"/>
                <w:bCs w:val="false"/>
                <w:color w:val="000000"/>
                <w:sz w:val="18"/>
                <w:szCs w:val="18"/>
              </w:rPr>
              <w:t xml:space="preserve">Directly relevant to the review; a bare FOI will be gutted by s 47F.</w:t>
            </w:r>
          </w:p>
        </w:tc>
      </w:tr>
      <w:tr>
        <w:trPr>
          <w:tblHeader w:val="false"/>
        </w:trPr>
        <w:tc>
          <w:tcPr>
            <w:tcW w:type="dxa" w:w="3260"/>
            <w:tcBorders>
              <w:top w:val="single" w:color="BFBFBF" w:sz="1"/>
              <w:left w:val="single" w:color="BFBFBF" w:sz="1"/>
              <w:bottom w:val="single" w:color="BFBFBF" w:sz="1"/>
              <w:right w:val="single" w:color="BFBFBF" w:sz="1"/>
            </w:tcBorders>
            <w:shd w:fill="FFE699" w:val="clear"/>
            <w:tcMar>
              <w:top w:type="dxa" w:w="70"/>
              <w:left w:type="dxa" w:w="110"/>
              <w:bottom w:type="dxa" w:w="70"/>
              <w:right w:type="dxa" w:w="110"/>
            </w:tcMar>
          </w:tcPr>
          <w:p>
            <w:pPr>
              <w:spacing w:after="0"/>
            </w:pPr>
            <w:r>
              <w:rPr>
                <w:b w:val="false"/>
                <w:bCs w:val="false"/>
                <w:color w:val="000000"/>
                <w:sz w:val="18"/>
                <w:szCs w:val="18"/>
              </w:rPr>
              <w:t xml:space="preserve">Halls ↔ competitor comms (Tear, Damon, Roberts, Rossouw)</w:t>
            </w:r>
          </w:p>
        </w:tc>
        <w:tc>
          <w:tcPr>
            <w:tcW w:type="dxa" w:w="2300"/>
            <w:tcBorders>
              <w:top w:val="single" w:color="BFBFBF" w:sz="1"/>
              <w:left w:val="single" w:color="BFBFBF" w:sz="1"/>
              <w:bottom w:val="single" w:color="BFBFBF" w:sz="1"/>
              <w:right w:val="single" w:color="BFBFBF" w:sz="1"/>
            </w:tcBorders>
            <w:shd w:fill="FFE699" w:val="clear"/>
            <w:tcMar>
              <w:top w:type="dxa" w:w="70"/>
              <w:left w:type="dxa" w:w="110"/>
              <w:bottom w:type="dxa" w:w="70"/>
              <w:right w:type="dxa" w:w="110"/>
            </w:tcMar>
          </w:tcPr>
          <w:p>
            <w:pPr>
              <w:spacing w:after="0"/>
            </w:pPr>
            <w:r>
              <w:rPr>
                <w:b w:val="false"/>
                <w:bCs w:val="false"/>
                <w:color w:val="000000"/>
                <w:sz w:val="18"/>
                <w:szCs w:val="18"/>
              </w:rPr>
              <w:t xml:space="preserve">FCR r 20.15 (on foot) / ART s 74</w:t>
            </w:r>
          </w:p>
        </w:tc>
        <w:tc>
          <w:tcPr>
            <w:tcW w:type="dxa" w:w="3800"/>
            <w:tcBorders>
              <w:top w:val="single" w:color="BFBFBF" w:sz="1"/>
              <w:left w:val="single" w:color="BFBFBF" w:sz="1"/>
              <w:bottom w:val="single" w:color="BFBFBF" w:sz="1"/>
              <w:right w:val="single" w:color="BFBFBF" w:sz="1"/>
            </w:tcBorders>
            <w:shd w:fill="FFE699" w:val="clear"/>
            <w:tcMar>
              <w:top w:type="dxa" w:w="70"/>
              <w:left w:type="dxa" w:w="110"/>
              <w:bottom w:type="dxa" w:w="70"/>
              <w:right w:type="dxa" w:w="110"/>
            </w:tcMar>
          </w:tcPr>
          <w:p>
            <w:pPr>
              <w:spacing w:after="0"/>
            </w:pPr>
            <w:r>
              <w:rPr>
                <w:b w:val="false"/>
                <w:bCs w:val="false"/>
                <w:color w:val="000000"/>
                <w:sz w:val="18"/>
                <w:szCs w:val="18"/>
              </w:rPr>
              <w:t xml:space="preserve">FOI will be refused or heavily redacted; the value is production + cross-examination on oath.</w:t>
            </w:r>
          </w:p>
        </w:tc>
      </w:tr>
      <w:tr>
        <w:trPr>
          <w:tblHeader w:val="false"/>
        </w:trPr>
        <w:tc>
          <w:tcPr>
            <w:tcW w:type="dxa" w:w="3260"/>
            <w:tcBorders>
              <w:top w:val="single" w:color="BFBFBF" w:sz="1"/>
              <w:left w:val="single" w:color="BFBFBF" w:sz="1"/>
              <w:bottom w:val="single" w:color="BFBFBF" w:sz="1"/>
              <w:right w:val="single" w:color="BFBFBF" w:sz="1"/>
            </w:tcBorders>
            <w:shd w:fill="C6E0B4" w:val="clear"/>
            <w:tcMar>
              <w:top w:type="dxa" w:w="70"/>
              <w:left w:type="dxa" w:w="110"/>
              <w:bottom w:type="dxa" w:w="70"/>
              <w:right w:type="dxa" w:w="110"/>
            </w:tcMar>
          </w:tcPr>
          <w:p>
            <w:pPr>
              <w:spacing w:after="0"/>
            </w:pPr>
            <w:r>
              <w:rPr>
                <w:b w:val="false"/>
                <w:bCs w:val="false"/>
                <w:color w:val="000000"/>
                <w:sz w:val="18"/>
                <w:szCs w:val="18"/>
              </w:rPr>
              <w:t xml:space="preserve">Conflict-of-interest declarations (Halls &amp; decision-makers)</w:t>
            </w:r>
          </w:p>
        </w:tc>
        <w:tc>
          <w:tcPr>
            <w:tcW w:type="dxa" w:w="2300"/>
            <w:tcBorders>
              <w:top w:val="single" w:color="BFBFBF" w:sz="1"/>
              <w:left w:val="single" w:color="BFBFBF" w:sz="1"/>
              <w:bottom w:val="single" w:color="BFBFBF" w:sz="1"/>
              <w:right w:val="single" w:color="BFBFBF" w:sz="1"/>
            </w:tcBorders>
            <w:shd w:fill="C6E0B4" w:val="clear"/>
            <w:tcMar>
              <w:top w:type="dxa" w:w="70"/>
              <w:left w:type="dxa" w:w="110"/>
              <w:bottom w:type="dxa" w:w="70"/>
              <w:right w:type="dxa" w:w="110"/>
            </w:tcMar>
          </w:tcPr>
          <w:p>
            <w:pPr>
              <w:spacing w:after="0"/>
            </w:pPr>
            <w:r>
              <w:rPr>
                <w:b w:val="false"/>
                <w:bCs w:val="false"/>
                <w:color w:val="000000"/>
                <w:sz w:val="18"/>
                <w:szCs w:val="18"/>
              </w:rPr>
              <w:t xml:space="preserve">FOI + r 20.15</w:t>
            </w:r>
          </w:p>
        </w:tc>
        <w:tc>
          <w:tcPr>
            <w:tcW w:type="dxa" w:w="3800"/>
            <w:tcBorders>
              <w:top w:val="single" w:color="BFBFBF" w:sz="1"/>
              <w:left w:val="single" w:color="BFBFBF" w:sz="1"/>
              <w:bottom w:val="single" w:color="BFBFBF" w:sz="1"/>
              <w:right w:val="single" w:color="BFBFBF" w:sz="1"/>
            </w:tcBorders>
            <w:shd w:fill="C6E0B4" w:val="clear"/>
            <w:tcMar>
              <w:top w:type="dxa" w:w="70"/>
              <w:left w:type="dxa" w:w="110"/>
              <w:bottom w:type="dxa" w:w="70"/>
              <w:right w:type="dxa" w:w="110"/>
            </w:tcMar>
          </w:tcPr>
          <w:p>
            <w:pPr>
              <w:spacing w:after="0"/>
            </w:pPr>
            <w:r>
              <w:rPr>
                <w:b w:val="false"/>
                <w:bCs w:val="false"/>
                <w:color w:val="000000"/>
                <w:sz w:val="18"/>
                <w:szCs w:val="18"/>
              </w:rPr>
              <w:t xml:space="preserve">Even a partial FOI release helps plead the misfeasance predicate cheaply and free-to-use.</w:t>
            </w:r>
          </w:p>
        </w:tc>
      </w:tr>
      <w:tr>
        <w:trPr>
          <w:tblHeader w:val="false"/>
        </w:trPr>
        <w:tc>
          <w:tcPr>
            <w:tcW w:type="dxa" w:w="3260"/>
            <w:tcBorders>
              <w:top w:val="single" w:color="BFBFBF" w:sz="1"/>
              <w:left w:val="single" w:color="BFBFBF" w:sz="1"/>
              <w:bottom w:val="single" w:color="BFBFBF" w:sz="1"/>
              <w:right w:val="single" w:color="BFBFBF" w:sz="1"/>
            </w:tcBorders>
            <w:shd w:fill="C6E0B4" w:val="clear"/>
            <w:tcMar>
              <w:top w:type="dxa" w:w="70"/>
              <w:left w:type="dxa" w:w="110"/>
              <w:bottom w:type="dxa" w:w="70"/>
              <w:right w:type="dxa" w:w="110"/>
            </w:tcMar>
          </w:tcPr>
          <w:p>
            <w:pPr>
              <w:spacing w:after="0"/>
            </w:pPr>
            <w:r>
              <w:rPr>
                <w:b w:val="false"/>
                <w:bCs w:val="false"/>
                <w:color w:val="000000"/>
                <w:sz w:val="18"/>
                <w:szCs w:val="18"/>
              </w:rPr>
              <w:t xml:space="preserve">Provider Exit Protocol (and its authorisation)</w:t>
            </w:r>
          </w:p>
        </w:tc>
        <w:tc>
          <w:tcPr>
            <w:tcW w:type="dxa" w:w="2300"/>
            <w:tcBorders>
              <w:top w:val="single" w:color="BFBFBF" w:sz="1"/>
              <w:left w:val="single" w:color="BFBFBF" w:sz="1"/>
              <w:bottom w:val="single" w:color="BFBFBF" w:sz="1"/>
              <w:right w:val="single" w:color="BFBFBF" w:sz="1"/>
            </w:tcBorders>
            <w:shd w:fill="C6E0B4" w:val="clear"/>
            <w:tcMar>
              <w:top w:type="dxa" w:w="70"/>
              <w:left w:type="dxa" w:w="110"/>
              <w:bottom w:type="dxa" w:w="70"/>
              <w:right w:type="dxa" w:w="110"/>
            </w:tcMar>
          </w:tcPr>
          <w:p>
            <w:pPr>
              <w:spacing w:after="0"/>
            </w:pPr>
            <w:r>
              <w:rPr>
                <w:b w:val="false"/>
                <w:bCs w:val="false"/>
                <w:color w:val="000000"/>
                <w:sz w:val="18"/>
                <w:szCs w:val="18"/>
              </w:rPr>
              <w:t xml:space="preserve">FOI (Commission/NDIA)</w:t>
            </w:r>
          </w:p>
        </w:tc>
        <w:tc>
          <w:tcPr>
            <w:tcW w:type="dxa" w:w="3800"/>
            <w:tcBorders>
              <w:top w:val="single" w:color="BFBFBF" w:sz="1"/>
              <w:left w:val="single" w:color="BFBFBF" w:sz="1"/>
              <w:bottom w:val="single" w:color="BFBFBF" w:sz="1"/>
              <w:right w:val="single" w:color="BFBFBF" w:sz="1"/>
            </w:tcBorders>
            <w:shd w:fill="C6E0B4" w:val="clear"/>
            <w:tcMar>
              <w:top w:type="dxa" w:w="70"/>
              <w:left w:type="dxa" w:w="110"/>
              <w:bottom w:type="dxa" w:w="70"/>
              <w:right w:type="dxa" w:w="110"/>
            </w:tcMar>
          </w:tcPr>
          <w:p>
            <w:pPr>
              <w:spacing w:after="0"/>
            </w:pPr>
            <w:r>
              <w:rPr>
                <w:b w:val="false"/>
                <w:bCs w:val="false"/>
                <w:color w:val="000000"/>
                <w:sz w:val="18"/>
                <w:szCs w:val="18"/>
              </w:rPr>
              <w:t xml:space="preserve">An operational/policy document — a strong FOI candidate, less exposed to exemption.</w:t>
            </w:r>
          </w:p>
        </w:tc>
      </w:tr>
      <w:tr>
        <w:trPr>
          <w:tblHeader w:val="false"/>
        </w:trPr>
        <w:tc>
          <w:tcPr>
            <w:tcW w:type="dxa" w:w="3260"/>
            <w:tcBorders>
              <w:top w:val="single" w:color="BFBFBF" w:sz="1"/>
              <w:left w:val="single" w:color="BFBFBF" w:sz="1"/>
              <w:bottom w:val="single" w:color="BFBFBF" w:sz="1"/>
              <w:right w:val="single" w:color="BFBFBF" w:sz="1"/>
            </w:tcBorders>
            <w:shd w:fill="FFE699" w:val="clear"/>
            <w:tcMar>
              <w:top w:type="dxa" w:w="70"/>
              <w:left w:type="dxa" w:w="110"/>
              <w:bottom w:type="dxa" w:w="70"/>
              <w:right w:type="dxa" w:w="110"/>
            </w:tcMar>
          </w:tcPr>
          <w:p>
            <w:pPr>
              <w:spacing w:after="0"/>
            </w:pPr>
            <w:r>
              <w:rPr>
                <w:b w:val="false"/>
                <w:bCs w:val="false"/>
                <w:color w:val="000000"/>
                <w:sz w:val="18"/>
                <w:szCs w:val="18"/>
              </w:rPr>
              <w:t xml:space="preserve">'Request for service' / reallocation records</w:t>
            </w:r>
          </w:p>
        </w:tc>
        <w:tc>
          <w:tcPr>
            <w:tcW w:type="dxa" w:w="2300"/>
            <w:tcBorders>
              <w:top w:val="single" w:color="BFBFBF" w:sz="1"/>
              <w:left w:val="single" w:color="BFBFBF" w:sz="1"/>
              <w:bottom w:val="single" w:color="BFBFBF" w:sz="1"/>
              <w:right w:val="single" w:color="BFBFBF" w:sz="1"/>
            </w:tcBorders>
            <w:shd w:fill="FFE699" w:val="clear"/>
            <w:tcMar>
              <w:top w:type="dxa" w:w="70"/>
              <w:left w:type="dxa" w:w="110"/>
              <w:bottom w:type="dxa" w:w="70"/>
              <w:right w:type="dxa" w:w="110"/>
            </w:tcMar>
          </w:tcPr>
          <w:p>
            <w:pPr>
              <w:spacing w:after="0"/>
            </w:pPr>
            <w:r>
              <w:rPr>
                <w:b w:val="false"/>
                <w:bCs w:val="false"/>
                <w:color w:val="000000"/>
                <w:sz w:val="18"/>
                <w:szCs w:val="18"/>
              </w:rPr>
              <w:t xml:space="preserve">FCR r 20.15 / ART s 74</w:t>
            </w:r>
          </w:p>
        </w:tc>
        <w:tc>
          <w:tcPr>
            <w:tcW w:type="dxa" w:w="3800"/>
            <w:tcBorders>
              <w:top w:val="single" w:color="BFBFBF" w:sz="1"/>
              <w:left w:val="single" w:color="BFBFBF" w:sz="1"/>
              <w:bottom w:val="single" w:color="BFBFBF" w:sz="1"/>
              <w:right w:val="single" w:color="BFBFBF" w:sz="1"/>
            </w:tcBorders>
            <w:shd w:fill="FFE699" w:val="clear"/>
            <w:tcMar>
              <w:top w:type="dxa" w:w="70"/>
              <w:left w:type="dxa" w:w="110"/>
              <w:bottom w:type="dxa" w:w="70"/>
              <w:right w:type="dxa" w:w="110"/>
            </w:tcMar>
          </w:tcPr>
          <w:p>
            <w:pPr>
              <w:spacing w:after="0"/>
            </w:pPr>
            <w:r>
              <w:rPr>
                <w:b w:val="false"/>
                <w:bCs w:val="false"/>
                <w:color w:val="000000"/>
                <w:sz w:val="18"/>
                <w:szCs w:val="18"/>
              </w:rPr>
              <w:t xml:space="preserve">Core improper-purpose evidence; pursue by process where you can test it.</w:t>
            </w:r>
          </w:p>
        </w:tc>
      </w:tr>
      <w:tr>
        <w:trPr>
          <w:tblHeader w:val="false"/>
        </w:trPr>
        <w:tc>
          <w:tcPr>
            <w:tcW w:type="dxa" w:w="3260"/>
            <w:tcBorders>
              <w:top w:val="single" w:color="BFBFBF" w:sz="1"/>
              <w:left w:val="single" w:color="BFBFBF" w:sz="1"/>
              <w:bottom w:val="single" w:color="BFBFBF" w:sz="1"/>
              <w:right w:val="single" w:color="BFBFBF" w:sz="1"/>
            </w:tcBorders>
            <w:shd w:fill="F8CBAD" w:val="clear"/>
            <w:tcMar>
              <w:top w:type="dxa" w:w="70"/>
              <w:left w:type="dxa" w:w="110"/>
              <w:bottom w:type="dxa" w:w="70"/>
              <w:right w:type="dxa" w:w="110"/>
            </w:tcMar>
          </w:tcPr>
          <w:p>
            <w:pPr>
              <w:spacing w:after="0"/>
            </w:pPr>
            <w:r>
              <w:rPr>
                <w:b w:val="false"/>
                <w:bCs w:val="false"/>
                <w:color w:val="000000"/>
                <w:sz w:val="18"/>
                <w:szCs w:val="18"/>
              </w:rPr>
              <w:t xml:space="preserve">Project Archer source file / Tactical Intelligence Report</w:t>
            </w:r>
          </w:p>
        </w:tc>
        <w:tc>
          <w:tcPr>
            <w:tcW w:type="dxa" w:w="2300"/>
            <w:tcBorders>
              <w:top w:val="single" w:color="BFBFBF" w:sz="1"/>
              <w:left w:val="single" w:color="BFBFBF" w:sz="1"/>
              <w:bottom w:val="single" w:color="BFBFBF" w:sz="1"/>
              <w:right w:val="single" w:color="BFBFBF" w:sz="1"/>
            </w:tcBorders>
            <w:shd w:fill="F8CBAD" w:val="clear"/>
            <w:tcMar>
              <w:top w:type="dxa" w:w="70"/>
              <w:left w:type="dxa" w:w="110"/>
              <w:bottom w:type="dxa" w:w="70"/>
              <w:right w:type="dxa" w:w="110"/>
            </w:tcMar>
          </w:tcPr>
          <w:p>
            <w:pPr>
              <w:spacing w:after="0"/>
            </w:pPr>
            <w:r>
              <w:rPr>
                <w:b w:val="false"/>
                <w:bCs w:val="false"/>
                <w:color w:val="000000"/>
                <w:sz w:val="18"/>
                <w:szCs w:val="18"/>
              </w:rPr>
              <w:t xml:space="preserve">PROCESS ONLY — discharge the 26 Jul 2024 non-disclosure orders first</w:t>
            </w:r>
          </w:p>
        </w:tc>
        <w:tc>
          <w:tcPr>
            <w:tcW w:type="dxa" w:w="3800"/>
            <w:tcBorders>
              <w:top w:val="single" w:color="BFBFBF" w:sz="1"/>
              <w:left w:val="single" w:color="BFBFBF" w:sz="1"/>
              <w:bottom w:val="single" w:color="BFBFBF" w:sz="1"/>
              <w:right w:val="single" w:color="BFBFBF" w:sz="1"/>
            </w:tcBorders>
            <w:shd w:fill="F8CBAD" w:val="clear"/>
            <w:tcMar>
              <w:top w:type="dxa" w:w="70"/>
              <w:left w:type="dxa" w:w="110"/>
              <w:bottom w:type="dxa" w:w="70"/>
              <w:right w:type="dxa" w:w="110"/>
            </w:tcMar>
          </w:tcPr>
          <w:p>
            <w:pPr>
              <w:spacing w:after="0"/>
            </w:pPr>
            <w:r>
              <w:rPr>
                <w:b w:val="false"/>
                <w:bCs w:val="false"/>
                <w:color w:val="000000"/>
                <w:sz w:val="18"/>
                <w:szCs w:val="18"/>
              </w:rPr>
              <w:t xml:space="preserve">Do NOT FOI: it invites a clean s 37/PII refusal that hardens the position. Fight it in the forum where you can challenge the orders.</w:t>
            </w:r>
          </w:p>
        </w:tc>
      </w:tr>
      <w:tr>
        <w:trPr>
          <w:tblHeader w:val="false"/>
        </w:trPr>
        <w:tc>
          <w:tcPr>
            <w:tcW w:type="dxa" w:w="3260"/>
            <w:tcBorders>
              <w:top w:val="single" w:color="BFBFBF" w:sz="1"/>
              <w:left w:val="single" w:color="BFBFBF" w:sz="1"/>
              <w:bottom w:val="single" w:color="BFBFBF" w:sz="1"/>
              <w:right w:val="single" w:color="BFBFBF" w:sz="1"/>
            </w:tcBorders>
            <w:shd w:fill="C6E0B4" w:val="clear"/>
            <w:tcMar>
              <w:top w:type="dxa" w:w="70"/>
              <w:left w:type="dxa" w:w="110"/>
              <w:bottom w:type="dxa" w:w="70"/>
              <w:right w:type="dxa" w:w="110"/>
            </w:tcMar>
          </w:tcPr>
          <w:p>
            <w:pPr>
              <w:spacing w:after="0"/>
            </w:pPr>
            <w:r>
              <w:rPr>
                <w:b w:val="false"/>
                <w:bCs w:val="false"/>
                <w:color w:val="000000"/>
                <w:sz w:val="18"/>
                <w:szCs w:val="18"/>
              </w:rPr>
              <w:t xml:space="preserve">CDPP prosecutorial status / dates of any matter</w:t>
            </w:r>
          </w:p>
        </w:tc>
        <w:tc>
          <w:tcPr>
            <w:tcW w:type="dxa" w:w="2300"/>
            <w:tcBorders>
              <w:top w:val="single" w:color="BFBFBF" w:sz="1"/>
              <w:left w:val="single" w:color="BFBFBF" w:sz="1"/>
              <w:bottom w:val="single" w:color="BFBFBF" w:sz="1"/>
              <w:right w:val="single" w:color="BFBFBF" w:sz="1"/>
            </w:tcBorders>
            <w:shd w:fill="C6E0B4" w:val="clear"/>
            <w:tcMar>
              <w:top w:type="dxa" w:w="70"/>
              <w:left w:type="dxa" w:w="110"/>
              <w:bottom w:type="dxa" w:w="70"/>
              <w:right w:type="dxa" w:w="110"/>
            </w:tcMar>
          </w:tcPr>
          <w:p>
            <w:pPr>
              <w:spacing w:after="0"/>
            </w:pPr>
            <w:r>
              <w:rPr>
                <w:b w:val="false"/>
                <w:bCs w:val="false"/>
                <w:color w:val="000000"/>
                <w:sz w:val="18"/>
                <w:szCs w:val="18"/>
              </w:rPr>
              <w:t xml:space="preserve">FOI (CDPP)</w:t>
            </w:r>
          </w:p>
        </w:tc>
        <w:tc>
          <w:tcPr>
            <w:tcW w:type="dxa" w:w="3800"/>
            <w:tcBorders>
              <w:top w:val="single" w:color="BFBFBF" w:sz="1"/>
              <w:left w:val="single" w:color="BFBFBF" w:sz="1"/>
              <w:bottom w:val="single" w:color="BFBFBF" w:sz="1"/>
              <w:right w:val="single" w:color="BFBFBF" w:sz="1"/>
            </w:tcBorders>
            <w:shd w:fill="C6E0B4" w:val="clear"/>
            <w:tcMar>
              <w:top w:type="dxa" w:w="70"/>
              <w:left w:type="dxa" w:w="110"/>
              <w:bottom w:type="dxa" w:w="70"/>
              <w:right w:type="dxa" w:w="110"/>
            </w:tcMar>
          </w:tcPr>
          <w:p>
            <w:pPr>
              <w:spacing w:after="0"/>
            </w:pPr>
            <w:r>
              <w:rPr>
                <w:b w:val="false"/>
                <w:bCs w:val="false"/>
                <w:color w:val="000000"/>
                <w:sz w:val="18"/>
                <w:szCs w:val="18"/>
              </w:rPr>
              <w:t xml:space="preserve">The only channel open now; existence, dates and disposition are gettable, and a refusal is itself probative.</w:t>
            </w:r>
          </w:p>
        </w:tc>
      </w:tr>
      <w:tr>
        <w:trPr>
          <w:tblHeader w:val="false"/>
        </w:trPr>
        <w:tc>
          <w:tcPr>
            <w:tcW w:type="dxa" w:w="326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pPr>
            <w:r>
              <w:rPr>
                <w:b w:val="false"/>
                <w:bCs w:val="false"/>
                <w:color w:val="000000"/>
                <w:sz w:val="18"/>
                <w:szCs w:val="18"/>
              </w:rPr>
              <w:t xml:space="preserve">AFP → CDPP referral / brief of evidence</w:t>
            </w:r>
          </w:p>
        </w:tc>
        <w:tc>
          <w:tcPr>
            <w:tcW w:type="dxa" w:w="23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pPr>
            <w:r>
              <w:rPr>
                <w:b w:val="false"/>
                <w:bCs w:val="false"/>
                <w:color w:val="000000"/>
                <w:sz w:val="18"/>
                <w:szCs w:val="18"/>
              </w:rPr>
              <w:t xml:space="preserve">FOI (AFP, re-scoped)</w:t>
            </w:r>
          </w:p>
        </w:tc>
        <w:tc>
          <w:tcPr>
            <w:tcW w:type="dxa" w:w="38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pPr>
            <w:r>
              <w:rPr>
                <w:b w:val="false"/>
                <w:bCs w:val="false"/>
                <w:color w:val="000000"/>
                <w:sz w:val="18"/>
                <w:szCs w:val="18"/>
              </w:rPr>
              <w:t xml:space="preserve">The other end of the same referral; narrowed scope addresses the earlier s 37 refusal.</w:t>
            </w:r>
          </w:p>
        </w:tc>
      </w:tr>
      <w:tr>
        <w:trPr>
          <w:tblHeader w:val="false"/>
        </w:trPr>
        <w:tc>
          <w:tcPr>
            <w:tcW w:type="dxa" w:w="326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pPr>
            <w:r>
              <w:rPr>
                <w:b w:val="false"/>
                <w:bCs w:val="false"/>
                <w:color w:val="000000"/>
                <w:sz w:val="18"/>
                <w:szCs w:val="18"/>
              </w:rPr>
              <w:t xml:space="preserve">Border-stop upstream alert / requesting agency</w:t>
            </w:r>
          </w:p>
        </w:tc>
        <w:tc>
          <w:tcPr>
            <w:tcW w:type="dxa" w:w="23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pPr>
            <w:r>
              <w:rPr>
                <w:b w:val="false"/>
                <w:bCs w:val="false"/>
                <w:color w:val="000000"/>
                <w:sz w:val="18"/>
                <w:szCs w:val="18"/>
              </w:rPr>
              <w:t xml:space="preserve">FOI (Home Affairs, re-scoped) + IC review MR26/00947</w:t>
            </w:r>
          </w:p>
        </w:tc>
        <w:tc>
          <w:tcPr>
            <w:tcW w:type="dxa" w:w="3800"/>
            <w:tcBorders>
              <w:top w:val="single" w:color="BFBFBF" w:sz="1"/>
              <w:left w:val="single" w:color="BFBFBF" w:sz="1"/>
              <w:bottom w:val="single" w:color="BFBFBF" w:sz="1"/>
              <w:right w:val="single" w:color="BFBFBF" w:sz="1"/>
            </w:tcBorders>
            <w:tcMar>
              <w:top w:type="dxa" w:w="70"/>
              <w:left w:type="dxa" w:w="110"/>
              <w:bottom w:type="dxa" w:w="70"/>
              <w:right w:type="dxa" w:w="110"/>
            </w:tcMar>
          </w:tcPr>
          <w:p>
            <w:pPr>
              <w:spacing w:after="0"/>
            </w:pPr>
            <w:r>
              <w:rPr>
                <w:b w:val="false"/>
                <w:bCs w:val="false"/>
                <w:color w:val="000000"/>
                <w:sz w:val="18"/>
                <w:szCs w:val="18"/>
              </w:rPr>
              <w:t xml:space="preserve">Targets the identity of the agency 'on behalf of another agency' behind the current redactions.</w:t>
            </w:r>
          </w:p>
        </w:tc>
      </w:tr>
      <w:tr>
        <w:trPr>
          <w:tblHeader w:val="false"/>
        </w:trPr>
        <w:tc>
          <w:tcPr>
            <w:tcW w:type="dxa" w:w="3260"/>
            <w:tcBorders>
              <w:top w:val="single" w:color="BFBFBF" w:sz="1"/>
              <w:left w:val="single" w:color="BFBFBF" w:sz="1"/>
              <w:bottom w:val="single" w:color="BFBFBF" w:sz="1"/>
              <w:right w:val="single" w:color="BFBFBF" w:sz="1"/>
            </w:tcBorders>
            <w:shd w:fill="FFE699" w:val="clear"/>
            <w:tcMar>
              <w:top w:type="dxa" w:w="70"/>
              <w:left w:type="dxa" w:w="110"/>
              <w:bottom w:type="dxa" w:w="70"/>
              <w:right w:type="dxa" w:w="110"/>
            </w:tcMar>
          </w:tcPr>
          <w:p>
            <w:pPr>
              <w:spacing w:after="0"/>
            </w:pPr>
            <w:r>
              <w:rPr>
                <w:b w:val="false"/>
                <w:bCs w:val="false"/>
                <w:color w:val="000000"/>
                <w:sz w:val="18"/>
                <w:szCs w:val="18"/>
              </w:rPr>
              <w:t xml:space="preserve">Nurse Assist 24/7 / Diversitas internal records</w:t>
            </w:r>
          </w:p>
        </w:tc>
        <w:tc>
          <w:tcPr>
            <w:tcW w:type="dxa" w:w="2300"/>
            <w:tcBorders>
              <w:top w:val="single" w:color="BFBFBF" w:sz="1"/>
              <w:left w:val="single" w:color="BFBFBF" w:sz="1"/>
              <w:bottom w:val="single" w:color="BFBFBF" w:sz="1"/>
              <w:right w:val="single" w:color="BFBFBF" w:sz="1"/>
            </w:tcBorders>
            <w:shd w:fill="FFE699" w:val="clear"/>
            <w:tcMar>
              <w:top w:type="dxa" w:w="70"/>
              <w:left w:type="dxa" w:w="110"/>
              <w:bottom w:type="dxa" w:w="70"/>
              <w:right w:type="dxa" w:w="110"/>
            </w:tcMar>
          </w:tcPr>
          <w:p>
            <w:pPr>
              <w:spacing w:after="0"/>
            </w:pPr>
            <w:r>
              <w:rPr>
                <w:b w:val="false"/>
                <w:bCs w:val="false"/>
                <w:color w:val="000000"/>
                <w:sz w:val="18"/>
                <w:szCs w:val="18"/>
              </w:rPr>
              <w:t xml:space="preserve">FCR r 20.23 non-party</w:t>
            </w:r>
          </w:p>
        </w:tc>
        <w:tc>
          <w:tcPr>
            <w:tcW w:type="dxa" w:w="3800"/>
            <w:tcBorders>
              <w:top w:val="single" w:color="BFBFBF" w:sz="1"/>
              <w:left w:val="single" w:color="BFBFBF" w:sz="1"/>
              <w:bottom w:val="single" w:color="BFBFBF" w:sz="1"/>
              <w:right w:val="single" w:color="BFBFBF" w:sz="1"/>
            </w:tcBorders>
            <w:shd w:fill="FFE699" w:val="clear"/>
            <w:tcMar>
              <w:top w:type="dxa" w:w="70"/>
              <w:left w:type="dxa" w:w="110"/>
              <w:bottom w:type="dxa" w:w="70"/>
              <w:right w:type="dxa" w:w="110"/>
            </w:tcMar>
          </w:tcPr>
          <w:p>
            <w:pPr>
              <w:spacing w:after="0"/>
            </w:pPr>
            <w:r>
              <w:rPr>
                <w:b w:val="false"/>
                <w:bCs w:val="false"/>
                <w:color w:val="000000"/>
                <w:sz w:val="18"/>
                <w:szCs w:val="18"/>
              </w:rPr>
              <w:t xml:space="preserve">FOI cannot reach private companies; only court process can.</w:t>
            </w:r>
          </w:p>
        </w:tc>
      </w:tr>
    </w:tbl>
    <w:p>
      <w:pPr>
        <w:pStyle w:val="Heading1"/>
      </w:pPr>
      <w:r>
        <w:t xml:space="preserve">7. The expanded FOI list</w:t>
      </w:r>
    </w:p>
    <w:p>
      <w:pPr>
        <w:spacing w:after="120"/>
      </w:pPr>
      <w:r>
        <w:t xml:space="preserve">Six requests. Detail below feeds straight into the send-ready emails in the companion document. </w:t>
      </w:r>
      <w:r>
        <w:rPr>
          <w:b/>
          <w:bCs/>
        </w:rPr>
        <w:t xml:space="preserve">Applicant</w:t>
      </w:r>
      <w:r>
        <w:t xml:space="preserve"> = whose personal-information right is strongest, which drives charges and access.</w:t>
      </w:r>
    </w:p>
    <w:p>
      <w:pPr>
        <w:pStyle w:val="Heading2"/>
        <w:spacing w:after="60" w:before="200"/>
      </w:pPr>
      <w:r>
        <w:t xml:space="preserve">Request 1 — CDPP  ·  PRIORITY: HIGH  ·  feeds ART (primary) + Federal (context)</w:t>
      </w:r>
    </w:p>
    <w:p>
      <w:pPr>
        <w:spacing w:after="50"/>
      </w:pPr>
      <w:r>
        <w:rPr>
          <w:b/>
          <w:bCs/>
        </w:rPr>
        <w:t xml:space="preserve">Objective: </w:t>
      </w:r>
      <w:r>
        <w:t xml:space="preserve">establish, on the prosecutor's own records, whether any matter against Vida Reid (and Simon Reid / FFG-related entities) was commenced, on what basis it was discontinued, and whether anything remains live — to test the AGS representation (11 Mar 2025) of no current criminal investigation.</w:t>
      </w:r>
    </w:p>
    <w:p>
      <w:pPr>
        <w:spacing w:after="50"/>
      </w:pPr>
      <w:r>
        <w:rPr>
          <w:b/>
          <w:bCs/>
        </w:rPr>
        <w:t xml:space="preserve">Lodge to: </w:t>
      </w:r>
      <w:r>
        <w:t xml:space="preserve">foi@cdpp.gov.au (acknowledges within 14 days; decision within 30).</w:t>
      </w:r>
    </w:p>
    <w:p>
      <w:pPr>
        <w:spacing w:after="50"/>
      </w:pPr>
      <w:r>
        <w:rPr>
          <w:b/>
          <w:bCs/>
        </w:rPr>
        <w:t xml:space="preserve">Applicant: </w:t>
      </w:r>
      <w:r>
        <w:t xml:space="preserve">Vida Reid (own personal information); parallel request for Simon / FFG.</w:t>
      </w:r>
    </w:p>
    <w:p>
      <w:pPr>
        <w:spacing w:after="50"/>
      </w:pPr>
      <w:r>
        <w:rPr>
          <w:b/>
          <w:bCs/>
        </w:rPr>
        <w:t xml:space="preserve">Custodians / refs: </w:t>
      </w:r>
      <w:r>
        <w:t xml:space="preserve">any matter referred by the AFP or NDIA arising from NDIS matters; CDPP officers previously in contact include I. Saville and K. Stynes.</w:t>
      </w:r>
    </w:p>
    <w:p>
      <w:pPr>
        <w:spacing w:after="50"/>
      </w:pPr>
      <w:r>
        <w:rPr>
          <w:b/>
          <w:bCs/>
        </w:rPr>
        <w:t xml:space="preserve">Date range: </w:t>
      </w:r>
      <w:r>
        <w:t xml:space="preserve">1 Jan 2021 – date of request.</w:t>
      </w:r>
    </w:p>
    <w:p>
      <w:pPr>
        <w:spacing w:after="120"/>
      </w:pPr>
      <w:r>
        <w:t xml:space="preserve">Document categories:</w:t>
      </w:r>
    </w:p>
    <w:p>
      <w:pPr>
        <w:pStyle w:val="ListParagraph"/>
        <w:numPr>
          <w:ilvl w:val="0"/>
          <w:numId w:val="2"/>
        </w:numPr>
        <w:spacing w:after="60"/>
      </w:pPr>
      <w:r>
        <w:t xml:space="preserve">Records of the existence, commencement, and disposition (discontinuance, withdrawal, no-bill, or decision not to prosecute) of any matter concerning the applicant — and the dates and reasons.</w:t>
      </w:r>
    </w:p>
    <w:p>
      <w:pPr>
        <w:pStyle w:val="ListParagraph"/>
        <w:numPr>
          <w:ilvl w:val="0"/>
          <w:numId w:val="2"/>
        </w:numPr>
        <w:spacing w:after="60"/>
      </w:pPr>
      <w:r>
        <w:t xml:space="preserve">Any record showing the current status (open/closed) of any such matter as at the date of the request.</w:t>
      </w:r>
    </w:p>
    <w:p>
      <w:pPr>
        <w:pStyle w:val="ListParagraph"/>
        <w:numPr>
          <w:ilvl w:val="0"/>
          <w:numId w:val="2"/>
        </w:numPr>
        <w:spacing w:after="60"/>
      </w:pPr>
      <w:r>
        <w:t xml:space="preserve">Correspondence between the CDPP and (i) AFP, (ii) NDIA, (iii) NDIS Commission and (iv) AGS concerning the Reids or FFG.</w:t>
      </w:r>
    </w:p>
    <w:p>
      <w:pPr>
        <w:spacing w:after="50"/>
      </w:pPr>
      <w:r>
        <w:rPr>
          <w:b/>
          <w:bCs/>
        </w:rPr>
        <w:t xml:space="preserve">Anticipated exemptions &amp; counter: </w:t>
      </w:r>
      <w:r>
        <w:t xml:space="preserve">s 37 (law enforcement), s 42 (LPP). Counter: existence/dates/disposition and the applicant's own personal information are not exempt merely by association with a concluded matter. Even a 'no current matter' answer is a usable admission.</w:t>
      </w:r>
    </w:p>
    <w:p>
      <w:pPr>
        <w:pStyle w:val="Heading2"/>
        <w:spacing w:after="60" w:before="200"/>
      </w:pPr>
      <w:r>
        <w:t xml:space="preserve">Request 2 — NDIS Commission (Halls + banning-order decision file)  ·  PRIORITY: HIGH  ·  feeds ART (primary) + Federal (the wedge)</w:t>
      </w:r>
    </w:p>
    <w:p>
      <w:pPr>
        <w:spacing w:after="50"/>
      </w:pPr>
      <w:r>
        <w:rPr>
          <w:b/>
          <w:bCs/>
        </w:rPr>
        <w:t xml:space="preserve">Objective: </w:t>
      </w:r>
      <w:r>
        <w:t xml:space="preserve">obtain the Commission's whole decision file for the banning orders and everything it holds touching Mr Halls and the provider exit, plus what it received from the NDIA and exchanged with CDPP/AFP/ABF.</w:t>
      </w:r>
    </w:p>
    <w:p>
      <w:pPr>
        <w:spacing w:after="50"/>
      </w:pPr>
      <w:r>
        <w:rPr>
          <w:b/>
          <w:bCs/>
        </w:rPr>
        <w:t xml:space="preserve">Lodge to: </w:t>
      </w:r>
      <w:r>
        <w:t xml:space="preserve">foi@ndiscommission.gov.au (formal FOI — not the contact-centre enquiry channel used in June 2026).</w:t>
      </w:r>
    </w:p>
    <w:p>
      <w:pPr>
        <w:spacing w:after="50"/>
      </w:pPr>
      <w:r>
        <w:rPr>
          <w:b/>
          <w:bCs/>
        </w:rPr>
        <w:t xml:space="preserve">Applicant: </w:t>
      </w:r>
      <w:r>
        <w:t xml:space="preserve">Simon (EC22-002521) and Vida (EC22-002103), lodged together.</w:t>
      </w:r>
    </w:p>
    <w:p>
      <w:pPr>
        <w:spacing w:after="50"/>
      </w:pPr>
      <w:r>
        <w:rPr>
          <w:b/>
          <w:bCs/>
        </w:rPr>
        <w:t xml:space="preserve">Custodians / refs: </w:t>
      </w:r>
      <w:r>
        <w:t xml:space="preserve">Nathan Halls; the banning-order decision-makers; tender-bundle item T9.22.</w:t>
      </w:r>
    </w:p>
    <w:p>
      <w:pPr>
        <w:spacing w:after="50"/>
      </w:pPr>
      <w:r>
        <w:rPr>
          <w:b/>
          <w:bCs/>
        </w:rPr>
        <w:t xml:space="preserve">Date range: </w:t>
      </w:r>
      <w:r>
        <w:t xml:space="preserve">1 Feb 2021 – date of request (provider-exit focus Sep–Dec 2022).</w:t>
      </w:r>
    </w:p>
    <w:p>
      <w:pPr>
        <w:spacing w:after="120"/>
      </w:pPr>
      <w:r>
        <w:t xml:space="preserve">Document categories:</w:t>
      </w:r>
    </w:p>
    <w:p>
      <w:pPr>
        <w:pStyle w:val="ListParagraph"/>
        <w:numPr>
          <w:ilvl w:val="0"/>
          <w:numId w:val="2"/>
        </w:numPr>
        <w:spacing w:after="60"/>
      </w:pPr>
      <w:r>
        <w:t xml:space="preserve">The complete decision/brief file for each order: all evidence, witness statements, the 40 complaints, and any forensic accounting relied on.</w:t>
      </w:r>
    </w:p>
    <w:p>
      <w:pPr>
        <w:pStyle w:val="ListParagraph"/>
        <w:numPr>
          <w:ilvl w:val="0"/>
          <w:numId w:val="2"/>
        </w:numPr>
        <w:spacing w:after="60"/>
      </w:pPr>
      <w:r>
        <w:t xml:space="preserve">All documents authored by, sent to, or referring to Nathan Halls — including the 11 October 2022 Halls letter and the T9.22 correspondence.</w:t>
      </w:r>
    </w:p>
    <w:p>
      <w:pPr>
        <w:pStyle w:val="ListParagraph"/>
        <w:numPr>
          <w:ilvl w:val="0"/>
          <w:numId w:val="2"/>
        </w:numPr>
        <w:spacing w:after="60"/>
      </w:pPr>
      <w:r>
        <w:t xml:space="preserve">All communications between the Commission and the NDIA concerning the Reids/FFG, the Provider Exit Protocol, and reallocation of FFG participants to Nurse Assist 24/7 and Diversitas WA.</w:t>
      </w:r>
    </w:p>
    <w:p>
      <w:pPr>
        <w:pStyle w:val="ListParagraph"/>
        <w:numPr>
          <w:ilvl w:val="0"/>
          <w:numId w:val="2"/>
        </w:numPr>
        <w:spacing w:after="60"/>
      </w:pPr>
      <w:r>
        <w:t xml:space="preserve">Records explaining the change of legislative basis for Vida's order (s 73ZN(2)(a)(i) to (a)(iii)).</w:t>
      </w:r>
    </w:p>
    <w:p>
      <w:pPr>
        <w:pStyle w:val="ListParagraph"/>
        <w:numPr>
          <w:ilvl w:val="0"/>
          <w:numId w:val="2"/>
        </w:numPr>
        <w:spacing w:after="60"/>
      </w:pPr>
      <w:r>
        <w:t xml:space="preserve">All communications between the Commission and the CDPP, AFP, ABF or Home Affairs concerning the Reids, including any request or authorisation relating to the 25 September 2024 border stop.</w:t>
      </w:r>
    </w:p>
    <w:p>
      <w:pPr>
        <w:pStyle w:val="ListParagraph"/>
        <w:numPr>
          <w:ilvl w:val="0"/>
          <w:numId w:val="2"/>
        </w:numPr>
        <w:spacing w:after="60"/>
      </w:pPr>
      <w:r>
        <w:t xml:space="preserve">Conflict-of-interest declarations/records for officers involved in provider selection or exit.</w:t>
      </w:r>
    </w:p>
    <w:p>
      <w:pPr>
        <w:spacing w:after="50"/>
      </w:pPr>
      <w:r>
        <w:rPr>
          <w:b/>
          <w:bCs/>
        </w:rPr>
        <w:t xml:space="preserve">Anticipated exemptions &amp; counter: </w:t>
      </w:r>
      <w:r>
        <w:t xml:space="preserve">ss 37, 42, 47F (witness personal info), and a live-proceedings deflection. Counter: tender-bundle documents cannot be withheld from you as exempt; FOI is sought for the whole-of-file and the non-tendered surrounding communications; parallel ART proceedings do not displace the FOI Act.</w:t>
      </w:r>
    </w:p>
    <w:p>
      <w:pPr>
        <w:spacing w:after="50"/>
      </w:pPr>
      <w:r>
        <w:rPr>
          <w:b/>
          <w:bCs/>
        </w:rPr>
        <w:t xml:space="preserve">Action first: </w:t>
      </w:r>
      <w:r>
        <w:t xml:space="preserve">confirm whether the 6 March 2025 request was ever sent to the Commission (Vida's Yahoo sent items). If yes, this is a deemed-refusal / IC-review follow-up; if no, lodge fresh.</w:t>
      </w:r>
    </w:p>
    <w:p>
      <w:pPr>
        <w:pStyle w:val="Heading2"/>
        <w:spacing w:after="60" w:before="200"/>
      </w:pPr>
      <w:r>
        <w:t xml:space="preserve">Request 3 — NDIA (narrowed to Halls)  ·  PRIORITY: MED–HIGH  ·  feeds Federal (primary) + ART (taint)</w:t>
      </w:r>
    </w:p>
    <w:p>
      <w:pPr>
        <w:spacing w:after="50"/>
      </w:pPr>
      <w:r>
        <w:rPr>
          <w:b/>
          <w:bCs/>
        </w:rPr>
        <w:t xml:space="preserve">Objective: </w:t>
      </w:r>
      <w:r>
        <w:t xml:space="preserve">Halls's own-agency records — the core of the improper-purpose case — distinct from the stalled 2024 FOI 23/24-0680 (which was about banning-order evidence, not Halls's conduct).</w:t>
      </w:r>
    </w:p>
    <w:p>
      <w:pPr>
        <w:spacing w:after="50"/>
      </w:pPr>
      <w:r>
        <w:rPr>
          <w:b/>
          <w:bCs/>
        </w:rPr>
        <w:t xml:space="preserve">Lodge to: </w:t>
      </w:r>
      <w:r>
        <w:t xml:space="preserve">foi@ndis.gov.au.</w:t>
      </w:r>
    </w:p>
    <w:p>
      <w:pPr>
        <w:spacing w:after="50"/>
      </w:pPr>
      <w:r>
        <w:rPr>
          <w:b/>
          <w:bCs/>
        </w:rPr>
        <w:t xml:space="preserve">Applicant: </w:t>
      </w:r>
      <w:r>
        <w:t xml:space="preserve">Simon and Vida (the conduct concerns their participants/business).</w:t>
      </w:r>
    </w:p>
    <w:p>
      <w:pPr>
        <w:spacing w:after="50"/>
      </w:pPr>
      <w:r>
        <w:rPr>
          <w:b/>
          <w:bCs/>
        </w:rPr>
        <w:t xml:space="preserve">Custodians / refs: </w:t>
      </w:r>
      <w:r>
        <w:t xml:space="preserve">Nathan Halls; provider-selection decision-makers; relevant to FOI 23/24-0680 and IC review MR24/00378.</w:t>
      </w:r>
    </w:p>
    <w:p>
      <w:pPr>
        <w:spacing w:after="50"/>
      </w:pPr>
      <w:r>
        <w:rPr>
          <w:b/>
          <w:bCs/>
        </w:rPr>
        <w:t xml:space="preserve">Date range: </w:t>
      </w:r>
      <w:r>
        <w:t xml:space="preserve">1 Sep 2022 – 31 Mar 2023 (COI records: to date).</w:t>
      </w:r>
    </w:p>
    <w:p>
      <w:pPr>
        <w:spacing w:after="120"/>
      </w:pPr>
      <w:r>
        <w:t xml:space="preserve">Document categories:</w:t>
      </w:r>
    </w:p>
    <w:p>
      <w:pPr>
        <w:pStyle w:val="ListParagraph"/>
        <w:numPr>
          <w:ilvl w:val="0"/>
          <w:numId w:val="2"/>
        </w:numPr>
        <w:spacing w:after="60"/>
      </w:pPr>
      <w:r>
        <w:t xml:space="preserve">Halls's emails, Teams messages and file notes concerning FFG, the Reids, the 'coordinated provider exit on behalf of the NDIA', and the 'request for service' reallocation.</w:t>
      </w:r>
    </w:p>
    <w:p>
      <w:pPr>
        <w:pStyle w:val="ListParagraph"/>
        <w:numPr>
          <w:ilvl w:val="0"/>
          <w:numId w:val="2"/>
        </w:numPr>
        <w:spacing w:after="60"/>
      </w:pPr>
      <w:r>
        <w:t xml:space="preserve">Halls's communications with Nurse Assist 24/7, Diversitas WA, Sukhi Tear, Amanda Damon, Terri Roberts and Pieter Rossouw.</w:t>
      </w:r>
    </w:p>
    <w:p>
      <w:pPr>
        <w:pStyle w:val="ListParagraph"/>
        <w:numPr>
          <w:ilvl w:val="0"/>
          <w:numId w:val="2"/>
        </w:numPr>
        <w:spacing w:after="60"/>
      </w:pPr>
      <w:r>
        <w:t xml:space="preserve">Conflict-of-interest declarations by Halls and the provider-selection decision-makers.</w:t>
      </w:r>
    </w:p>
    <w:p>
      <w:pPr>
        <w:pStyle w:val="ListParagraph"/>
        <w:numPr>
          <w:ilvl w:val="0"/>
          <w:numId w:val="2"/>
        </w:numPr>
        <w:spacing w:after="60"/>
      </w:pPr>
      <w:r>
        <w:t xml:space="preserve">The Provider Exit Protocol and the record of its authorisation.</w:t>
      </w:r>
    </w:p>
    <w:p>
      <w:pPr>
        <w:spacing w:after="50"/>
      </w:pPr>
      <w:r>
        <w:rPr>
          <w:b/>
          <w:bCs/>
        </w:rPr>
        <w:t xml:space="preserve">Deliberately excluded: </w:t>
      </w:r>
      <w:r>
        <w:t xml:space="preserve">the Project Archer source file and Tactical Intelligence Report — pursue by process after discharging the 26 July 2024 non-disclosure orders (see §4).</w:t>
      </w:r>
    </w:p>
    <w:p>
      <w:pPr>
        <w:spacing w:after="50"/>
      </w:pPr>
      <w:r>
        <w:rPr>
          <w:b/>
          <w:bCs/>
        </w:rPr>
        <w:t xml:space="preserve">Decision for the team: </w:t>
      </w:r>
      <w:r>
        <w:t xml:space="preserve">fold into the MR24/00378 IC review or lodge fresh. NDIA will resist with ss 37/47E/47G; FOI here is the cheap parallel — the conduct material itself comes by r 20.15 / s 74.</w:t>
      </w:r>
    </w:p>
    <w:p>
      <w:pPr>
        <w:pStyle w:val="Heading2"/>
        <w:spacing w:after="60" w:before="200"/>
      </w:pPr>
      <w:r>
        <w:t xml:space="preserve">Requests 4–6 — second tier</w:t>
      </w:r>
    </w:p>
    <w:p>
      <w:pPr>
        <w:spacing w:after="50"/>
      </w:pPr>
      <w:r>
        <w:rPr>
          <w:b/>
          <w:bCs/>
        </w:rPr>
        <w:t xml:space="preserve">4. Services Australia (Fraud Fusion Taskforce): </w:t>
      </w:r>
      <w:r>
        <w:t xml:space="preserve">feeds Federal. Lodge to freedomofinformation@servicesaustralia.gov.au. Records on the Reids/FFG within the FFT and which of the 24 agencies referred or received referrals; tests the multi-agency-targeting theory.</w:t>
      </w:r>
    </w:p>
    <w:p>
      <w:pPr>
        <w:spacing w:after="50"/>
      </w:pPr>
      <w:r>
        <w:rPr>
          <w:b/>
          <w:bCs/>
        </w:rPr>
        <w:t xml:space="preserve">5. Home Affairs (re-scoped): </w:t>
      </w:r>
      <w:r>
        <w:t xml:space="preserve">feeds Federal + ART. Lodge to foi@homeaffairs.gov.au. Distinct from FA 24/10/01764: the upstream movement alert / PACE record and the identity of the agency that requested the 25 Sep 2024 stop. Coordinate with IC review MR26/00947.</w:t>
      </w:r>
    </w:p>
    <w:p>
      <w:pPr>
        <w:spacing w:after="50"/>
      </w:pPr>
      <w:r>
        <w:rPr>
          <w:b/>
          <w:bCs/>
        </w:rPr>
        <w:t xml:space="preserve">6. AFP (re-scoped): </w:t>
      </w:r>
      <w:r>
        <w:t xml:space="preserve">feeds ART + Federal. Lodge to foi@afp.gov.au. Already refused as LEX 2309 — re-run narrowed to the referral / brief sent to the CDPP and inter-agency comms (NDIA, NDIS Commission), not the investigation file. Changed circumstances (charges dropped) and narrower scope address the earlier s 37 basis.</w:t>
      </w:r>
    </w:p>
    <w:p>
      <w:pPr>
        <w:pStyle w:val="Heading1"/>
      </w:pPr>
      <w:r>
        <w:t xml:space="preserve">8. Next actions</w:t>
      </w:r>
    </w:p>
    <w:p>
      <w:pPr>
        <w:pStyle w:val="ListParagraph"/>
        <w:numPr>
          <w:ilvl w:val="0"/>
          <w:numId w:val="3"/>
        </w:numPr>
        <w:spacing w:after="60"/>
      </w:pPr>
      <w:r>
        <w:rPr>
          <w:b/>
          <w:bCs/>
        </w:rPr>
        <w:t xml:space="preserve">Approve the six emails </w:t>
      </w:r>
      <w:r>
        <w:t xml:space="preserve">(companion document) — fill the applicant DOB/address fields and lodge.</w:t>
      </w:r>
    </w:p>
    <w:p>
      <w:pPr>
        <w:pStyle w:val="ListParagraph"/>
        <w:numPr>
          <w:ilvl w:val="0"/>
          <w:numId w:val="3"/>
        </w:numPr>
        <w:spacing w:after="60"/>
      </w:pPr>
      <w:r>
        <w:rPr>
          <w:b/>
          <w:bCs/>
        </w:rPr>
        <w:t xml:space="preserve">Verify the 6 March 2025 Commission FOI </w:t>
      </w:r>
      <w:r>
        <w:t xml:space="preserve">was actually lodged (Vida's Yahoo) before re-filing Request 2.</w:t>
      </w:r>
    </w:p>
    <w:p>
      <w:pPr>
        <w:pStyle w:val="ListParagraph"/>
        <w:numPr>
          <w:ilvl w:val="0"/>
          <w:numId w:val="3"/>
        </w:numPr>
        <w:spacing w:after="60"/>
      </w:pPr>
      <w:r>
        <w:rPr>
          <w:b/>
          <w:bCs/>
        </w:rPr>
        <w:t xml:space="preserve">Chase OAIC </w:t>
      </w:r>
      <w:r>
        <w:t xml:space="preserve">on MR24/00378 (idle since 2024) and MR26/00947 (on foot).</w:t>
      </w:r>
    </w:p>
    <w:p>
      <w:pPr>
        <w:pStyle w:val="ListParagraph"/>
        <w:numPr>
          <w:ilvl w:val="0"/>
          <w:numId w:val="3"/>
        </w:numPr>
        <w:spacing w:after="60"/>
      </w:pPr>
      <w:r>
        <w:rPr>
          <w:b/>
          <w:bCs/>
        </w:rPr>
        <w:t xml:space="preserve">Sequence the process track: </w:t>
      </w:r>
      <w:r>
        <w:t xml:space="preserve">serve ART s 74 production for the review-relevant items now; prepare r 20.15/20.23 for once the s 39B proceeding is on foot; move to discharge the 26 July 2024 non-disclosure orders.</w:t>
      </w:r>
    </w:p>
    <w:p>
      <w:pPr>
        <w:pStyle w:val="ListParagraph"/>
        <w:numPr>
          <w:ilvl w:val="0"/>
          <w:numId w:val="3"/>
        </w:numPr>
        <w:spacing w:after="60"/>
      </w:pPr>
      <w:r>
        <w:rPr>
          <w:b/>
          <w:bCs/>
        </w:rPr>
        <w:t xml:space="preserve">Diarise </w:t>
      </w:r>
      <w:r>
        <w:t xml:space="preserve">the statutory clocks on each FOI and the misfeasance limitation date.</w:t>
      </w:r>
    </w:p>
    <w:p>
      <w:pPr>
        <w:spacing w:after="120"/>
      </w:pPr>
      <w:r>
        <w:rPr>
          <w:b/>
          <w:bCs/>
          <w:i/>
          <w:iCs/>
        </w:rPr>
        <w:t xml:space="preserve">Standing caveat: </w:t>
      </w:r>
      <w:r>
        <w:rPr>
          <w:i/>
          <w:iCs/>
        </w:rPr>
        <w:t xml:space="preserve">nothing here concedes any wrongdoing by any applicant; the Commission's case is contested in its entirety. Any connection between Mr Halls and the destination providers is to be tested by these requests and by process, not asserted as fact.</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5"/>
        <w:szCs w:val="15"/>
      </w:rPr>
      <w:t xml:space="preserve">Reid — FOI strategy v2 — 26 June 2026 — page </w:t>
    </w:r>
    <w:r>
      <w:rPr>
        <w:color w:val="59595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5"/>
        <w:szCs w:val="15"/>
      </w:rPr>
      <w:t xml:space="preserve">PRIVILEGED &amp; CONFIDENTIAL — prepared to brief counsel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3"/>
      </w:pBdr>
      <w:spacing w:after="140" w:before="28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1F386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Prepared to brief counsel</dc:creator>
  <cp:lastModifiedBy>Un-named</cp:lastModifiedBy>
  <cp:revision>1</cp:revision>
  <dcterms:created xsi:type="dcterms:W3CDTF">2026-06-26T02:24:33.878Z</dcterms:created>
  <dcterms:modified xsi:type="dcterms:W3CDTF">2026-06-26T02:24:33.895Z</dcterms:modified>
</cp:coreProperties>
</file>

<file path=docProps/custom.xml><?xml version="1.0" encoding="utf-8"?>
<Properties xmlns="http://schemas.openxmlformats.org/officeDocument/2006/custom-properties" xmlns:vt="http://schemas.openxmlformats.org/officeDocument/2006/docPropsVTypes"/>
</file>