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RESPONSE AND PROPOSED DIRECTIONS</w:t>
      </w:r>
    </w:p>
    <w:p>
      <w:pPr>
        <w:spacing w:after="240"/>
        <w:jc w:val="center"/>
      </w:pPr>
      <w:r>
        <w:rPr>
          <w:rFonts w:ascii="Calibri" w:cs="Calibri" w:eastAsia="Calibri" w:hAnsi="Calibri"/>
          <w:sz w:val="22"/>
          <w:szCs w:val="22"/>
        </w:rPr>
        <w:t xml:space="preserve">in response to the Respondent's proposed timetabling orders served on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Second Applicant, Mr Simon Reid, in matter 2023/3363. It does not state the position of, and does not bind, the First or Third Applicants.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Second Applicant accepts the Tribunal's decision of 31 July 2026 that the three applications remain associated and are to be programmed and heard together. He supports the matters being set down for final hearing, and he agrees with the substance of the steps the Respondent proposes: a supplementary tender bundle, statements of facts, issues and contentions (</w:t>
      </w:r>
      <w:r>
        <w:rPr>
          <w:rFonts w:ascii="Calibri" w:cs="Calibri" w:eastAsia="Calibri" w:hAnsi="Calibri"/>
          <w:i/>
          <w:iCs/>
          <w:sz w:val="22"/>
          <w:szCs w:val="22"/>
        </w:rPr>
        <w:t xml:space="preserve">SFIC</w:t>
      </w:r>
      <w:r>
        <w:rPr>
          <w:rFonts w:ascii="Calibri" w:cs="Calibri" w:eastAsia="Calibri" w:hAnsi="Calibri"/>
          <w:sz w:val="22"/>
          <w:szCs w:val="22"/>
        </w:rPr>
        <w:t xml:space="preserve">) with evidence, and a final hearing. The dates the Respondent proposed have now passed or are imminent, and no orders have been made on them. He asks that the steps be re-dated and sequenced as set out in Part C.</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Reasons for the proposed directions</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Outstanding documents. </w:t>
      </w:r>
      <w:r>
        <w:rPr>
          <w:rFonts w:ascii="Calibri" w:cs="Calibri" w:eastAsia="Calibri" w:hAnsi="Calibri"/>
          <w:sz w:val="22"/>
          <w:szCs w:val="22"/>
        </w:rPr>
        <w:t xml:space="preserve">Two matters stand between the parties and the preparation of evidence. First, 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concerning Attachment O to briefing note EC22-002103 and Attachment G to briefing note EC22-002521, has not been determined. The Second Applicant filed submissions opposing it on 19 May 2026. Secondly, the supplementary tender bundle has not been lodged. The Respondent's letter of 7 May 2026 also records that it has not provided Attachments A to G, P and Q to EC22-002103 (on the basis that they concern unrelated companies or are not relevant), or Attachment J to EC22-002103 and to EC22-002521 (relying on the orders of 26 July 2024).</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That description is difficult to reconcile with briefing note EC22-002103 itself. The briefing note records Attachment B as the notice of intention issued to Hybrid Hive Pty Ltd, the entity through which conduct is attributed to the Second Applicant; Attachments D, E, F and G as notices to Sahar &amp; Simon Pty Ltd, N-Able Perth Kids Rehab Centre Pty Ltd, The Hive Pty Ltd and Malibuhouse Pty Ltd, of which it records the Second Applicant as secretary, director or shareholder (at [5] and [9] to [11]); Attachment P as the National Disability Insurance Agency's conditions on the use of its evidence (at [31]); and Attachment Q as a risk assessment concerning Hybrid Hive Pty Ltd (at [33.1]). Briefing note EC22-002521 also records that the recommended five-year period was proposed as "consistent with the proposed banning order for The Hive Pty Ltd" (at [12]).</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Section 23 of the ART Act requires the decision-maker to give the Tribunal every document in its possession or control that is relevant to the review, and section 30 provides that the relevant Subdivision has effect despite any rule of law relating to legal professional privilege. The Second Applicant does not ask that any document be disclosed to him in breach of an existing order. He asks that the withheld documents be before the Tribunal, and that they be described sufficiently for the question of relevance or restriction to be decided by the Tribunal rather than by the Respondent alone.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Particulars of the case to be met. </w:t>
      </w:r>
      <w:r>
        <w:rPr>
          <w:rFonts w:ascii="Calibri" w:cs="Calibri" w:eastAsia="Calibri" w:hAnsi="Calibri"/>
          <w:sz w:val="22"/>
          <w:szCs w:val="22"/>
        </w:rPr>
        <w:t xml:space="preserve">The internal review reasons of 21 April 2023 attribute conduct to the Second Applicant principally through his directorship of Hybrid Hive Pty Ltd (at [38]), rely on material summarised at [29] to [31] and [41] to [43], and fix the duration of the order by reference to an ongoing investigation and the regulatory and legal processes then in motion (at [46] to [47]). Before filing his evidence, the Second Applicant needs to know which allegations the Respondent now relies on, against which entity and for which period, and what order it will ask the Tribunal to make. Section 79(2)(b) and (3) of the ART Act allow the Tribunal to require that statement.</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The form of any order.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does not authorise an order prohibiting a person from being indirectly involved in specified activities (at [128], [134] and [139]), and that a banning order must express the specified activities in terms reasonably capable of being obeyed (at [131]). The Court also recognised that a clearly specified activity may be restricted even where it only indirectly involves the provision of supports or services (at [134]). The order under review prohibits the Second Applicant from having "any involvement with or in the NDIS sector, in any capacity", including "directly or indirectly". The Second Applicant will address the form of any order in his SFIC and at the final hearing. He asks only that the Respondent state its position in advance, so that the issue can be dealt with efficiently at that hearing.</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b/>
          <w:bCs/>
          <w:sz w:val="22"/>
          <w:szCs w:val="22"/>
        </w:rPr>
        <w:t xml:space="preserve">Hearing estimate. </w:t>
      </w:r>
      <w:r>
        <w:rPr>
          <w:rFonts w:ascii="Calibri" w:cs="Calibri" w:eastAsia="Calibri" w:hAnsi="Calibri"/>
          <w:sz w:val="22"/>
          <w:szCs w:val="22"/>
        </w:rPr>
        <w:t xml:space="preserve">The hearing estimate depends on which witnesses the Respondent calls, which statement-makers the applicants seek to cross-examine, and the interpreter arrangements for the First Applicant. The Second Applicant asks that the estimate be fixed once those matters are known.</w:t>
      </w:r>
    </w:p>
    <w:p>
      <w:pPr>
        <w:spacing w:after="120" w:before="240"/>
      </w:pPr>
      <w:r>
        <w:rPr>
          <w:rFonts w:ascii="Calibri" w:cs="Calibri" w:eastAsia="Calibri" w:hAnsi="Calibri"/>
          <w:b/>
          <w:bCs/>
          <w:sz w:val="22"/>
          <w:szCs w:val="22"/>
        </w:rPr>
        <w:t xml:space="preserve">C.  Directions sought</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or as soon as practicable after, the directions hearing, on the materials already filed (including the Second Applicant's submissions of 19 May 2026),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b/>
          <w:bCs/>
          <w:sz w:val="22"/>
          <w:szCs w:val="22"/>
        </w:rPr>
        <w:t xml:space="preserve">Withheld documents. </w:t>
      </w:r>
      <w:r>
        <w:rPr>
          <w:rFonts w:ascii="Calibri" w:cs="Calibri" w:eastAsia="Calibri" w:hAnsi="Calibri"/>
          <w:sz w:val="22"/>
          <w:szCs w:val="22"/>
        </w:rPr>
        <w:t xml:space="preserve">Within 14 days of these directions,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give the Tribunal a copy of each of Attachments A to G, J, P and Q to briefing note EC22-002103 and Attachment J to briefing note EC22-002521, to the extent not already given; and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file and serve a list describing each of those documents (date, author, recipient and general nature) and the basis on which it is said to be irrelevant or not to be disclosed to the applicants.</w:t>
      </w:r>
    </w:p>
    <w:p>
      <w:pPr>
        <w:spacing w:after="120"/>
        <w:ind w:left="567"/>
        <w:jc w:val="both"/>
      </w:pPr>
      <w:r>
        <w:rPr>
          <w:rFonts w:ascii="Calibri" w:cs="Calibri" w:eastAsia="Calibri" w:hAnsi="Calibri"/>
          <w:sz w:val="22"/>
          <w:szCs w:val="22"/>
        </w:rPr>
        <w:t xml:space="preserve">Any applicant may respond within 7 days of service of the list, and any dispute be determined on the papers or at a case event.</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including any document to which access is permitted by that determination.</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of these directions, the Respondent serve a copy of the instrument of delegation under which each of the decisions of 21 December 2022 and 21 April 2023 concerning the Second Applicant was made (briefing note EC22-002521 at [8] refers to "Instrument No.2 of 2022").</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b/>
          <w:bCs/>
          <w:sz w:val="22"/>
          <w:szCs w:val="22"/>
        </w:rPr>
        <w:t xml:space="preserve">Respondent's statement of position and particulars. </w:t>
      </w:r>
      <w:r>
        <w:rPr>
          <w:rFonts w:ascii="Calibri" w:cs="Calibri" w:eastAsia="Calibri" w:hAnsi="Calibri"/>
          <w:sz w:val="22"/>
          <w:szCs w:val="22"/>
        </w:rPr>
        <w:t xml:space="preserve">Pursuant to section 79(2)(b) and (3) of the ART Act, within 28 days of service of the supplementary tender bundle, the Respondent file and serve a statement identifying, in respect of the Second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under section 105 of the ART Act and, if it seeks a banning order, the complete wording, duration and commencement of that order;</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its position on the application of </w:t>
      </w:r>
      <w:r>
        <w:rPr>
          <w:rFonts w:ascii="Calibri" w:cs="Calibri" w:eastAsia="Calibri" w:hAnsi="Calibri"/>
          <w:i/>
          <w:iCs/>
          <w:sz w:val="22"/>
          <w:szCs w:val="22"/>
        </w:rPr>
        <w:t xml:space="preserve">Sunflower</w:t>
      </w:r>
      <w:r>
        <w:rPr>
          <w:rFonts w:ascii="Calibri" w:cs="Calibri" w:eastAsia="Calibri" w:hAnsi="Calibri"/>
          <w:sz w:val="22"/>
          <w:szCs w:val="22"/>
        </w:rPr>
        <w:t xml:space="preserve"> to the order under review;</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each allegation relied on: the participant, period, amount, the entity that submitted the claim, the source document, the office (if any) held by the Second Applicant at that time, and the act or omission attributed to him personally;</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any alleged contravention of a banning order: the date, the conduct and the term of the order said to have been contravened;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whether it relies on any current investigation or proceeding concerning the Second Applicant and, if so, its identity and status; and</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b/>
          <w:bCs/>
          <w:sz w:val="22"/>
          <w:szCs w:val="22"/>
        </w:rPr>
        <w:t xml:space="preserve">Applicants' SFIC and evidence. </w:t>
      </w:r>
      <w:r>
        <w:rPr>
          <w:rFonts w:ascii="Calibri" w:cs="Calibri" w:eastAsia="Calibri" w:hAnsi="Calibri"/>
          <w:sz w:val="22"/>
          <w:szCs w:val="22"/>
        </w:rPr>
        <w:t xml:space="preserve">Each applicant file and serve an updated SFIC and any further evidence within 35 days of service of the statement under direction 5.</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evidence within 28 days after direction 6.</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7.</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b/>
          <w:bCs/>
          <w:sz w:val="22"/>
          <w:szCs w:val="22"/>
        </w:rPr>
        <w:t xml:space="preserve">Cross-examination requests. </w:t>
      </w:r>
      <w:r>
        <w:rPr>
          <w:rFonts w:ascii="Calibri" w:cs="Calibri" w:eastAsia="Calibri" w:hAnsi="Calibri"/>
          <w:sz w:val="22"/>
          <w:szCs w:val="22"/>
        </w:rPr>
        <w:t xml:space="preserve">Within 14 days after direction 7, any applicant may serve a notice identifying each statement-maker whose attendance is sought for cross-examination, the proposition in dispute and the reason attendance is necessary. Any dispute be determined at a case event.</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compliance with direction 8. The estimate be fixed at a short case event after direction 9, taking account of the witnesses and interpreter arrangements. The form of any order, including the application of </w:t>
      </w:r>
      <w:r>
        <w:rPr>
          <w:rFonts w:ascii="Calibri" w:cs="Calibri" w:eastAsia="Calibri" w:hAnsi="Calibri"/>
          <w:i/>
          <w:iCs/>
          <w:sz w:val="22"/>
          <w:szCs w:val="22"/>
        </w:rPr>
        <w:t xml:space="preserve">Sunflower</w:t>
      </w:r>
      <w:r>
        <w:rPr>
          <w:rFonts w:ascii="Calibri" w:cs="Calibri" w:eastAsia="Calibri" w:hAnsi="Calibri"/>
          <w:sz w:val="22"/>
          <w:szCs w:val="22"/>
        </w:rPr>
        <w:t xml:space="preserve">, be dealt with at the final hearing.</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be vacated and replaced by these directions.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2026-09-24T18:18:22.733Z</dcterms:created>
  <dcterms:modified xsi:type="dcterms:W3CDTF">2026-09-24T18:18:22.734Z</dcterms:modified>
</cp:coreProperties>
</file>

<file path=docProps/custom.xml><?xml version="1.0" encoding="utf-8"?>
<Properties xmlns="http://schemas.openxmlformats.org/officeDocument/2006/custom-properties" xmlns:vt="http://schemas.openxmlformats.org/officeDocument/2006/docPropsVTypes"/>
</file>