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4"/>
          <w:szCs w:val="24"/>
        </w:rPr>
        <w:t xml:space="preserve">ADMINISTRATIVE REVIEW TRIBUNAL</w:t>
      </w:r>
    </w:p>
    <w:p>
      <w:pPr>
        <w:spacing w:after="240"/>
        <w:jc w:val="center"/>
      </w:pPr>
      <w:r>
        <w:rPr>
          <w:rFonts w:ascii="Calibri" w:cs="Calibri" w:eastAsia="Calibri" w:hAnsi="Calibri"/>
          <w:sz w:val="22"/>
          <w:szCs w:val="22"/>
        </w:rPr>
        <w:t xml:space="preserve">BRISBANE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Tribunal Numbers:</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2023/3361, 2023/3363 and 2023/4494</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First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VIDA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Second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SIMON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Third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FORWARD FOCUSED GROUP PTY LTD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Respondent: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COMMISSIONER OF THE NDIS QUALITY AND SAFEGUARDS COMMISSION</w:t>
            </w:r>
          </w:p>
        </w:tc>
      </w:tr>
    </w:tbl>
    <w:p>
      <w:pPr>
        <w:spacing w:before="240"/>
        <w:jc w:val="center"/>
      </w:pPr>
      <w:r>
        <w:rPr>
          <w:rFonts w:ascii="Calibri" w:cs="Calibri" w:eastAsia="Calibri" w:hAnsi="Calibri"/>
          <w:b/>
          <w:bCs/>
          <w:sz w:val="24"/>
          <w:szCs w:val="24"/>
        </w:rPr>
        <w:t xml:space="preserve">FIRST APPLICANT'S RESPONSE AND PROPOSED DIRECTIONS</w:t>
      </w:r>
    </w:p>
    <w:p>
      <w:pPr>
        <w:spacing w:after="240"/>
        <w:jc w:val="center"/>
      </w:pPr>
      <w:r>
        <w:rPr>
          <w:rFonts w:ascii="Calibri" w:cs="Calibri" w:eastAsia="Calibri" w:hAnsi="Calibri"/>
          <w:sz w:val="22"/>
          <w:szCs w:val="22"/>
        </w:rPr>
        <w:t xml:space="preserve">in response to the Tribunal's decision of 30 July 2026 and the Respondent's proposed minute of order served on 14 August 2026</w:t>
      </w:r>
    </w:p>
    <w:p>
      <w:pPr>
        <w:spacing w:after="120" w:before="240"/>
      </w:pPr>
      <w:r>
        <w:rPr>
          <w:rFonts w:ascii="Calibri" w:cs="Calibri" w:eastAsia="Calibri" w:hAnsi="Calibri"/>
          <w:b/>
          <w:bCs/>
          <w:sz w:val="22"/>
          <w:szCs w:val="22"/>
        </w:rPr>
        <w:t xml:space="preserve">A.  Position</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sz w:val="22"/>
          <w:szCs w:val="22"/>
        </w:rPr>
        <w:t xml:space="preserve">This response is filed by the First Applicant, Mrs Vida Reid, in matter 2023/3361. It does not state the position of, and does not bind, the other applicants.</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sz w:val="22"/>
          <w:szCs w:val="22"/>
        </w:rPr>
        <w:t xml:space="preserve">The First Applicant accepts the Tribunal's decision dated 30 July 2026 (sent to the parties on 31 July 2026) that the three applications be heard together, and supports the matters proceeding to a final hearing without further delay. The First Applicant agrees with the broad steps the Respondent proposes in its minute of 14 August 2026 (a supplementary tender bundle, statements of facts, issues and contentions (</w:t>
      </w:r>
      <w:r>
        <w:rPr>
          <w:rFonts w:ascii="Calibri" w:cs="Calibri" w:eastAsia="Calibri" w:hAnsi="Calibri"/>
          <w:i/>
          <w:iCs/>
          <w:sz w:val="22"/>
          <w:szCs w:val="22"/>
        </w:rPr>
        <w:t xml:space="preserve">SFIC</w:t>
      </w:r>
      <w:r>
        <w:rPr>
          <w:rFonts w:ascii="Calibri" w:cs="Calibri" w:eastAsia="Calibri" w:hAnsi="Calibri"/>
          <w:sz w:val="22"/>
          <w:szCs w:val="22"/>
        </w:rPr>
        <w:t xml:space="preserve">) with evidence, and a final hearing), but not with their sequence or content, for the reasons below.</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sz w:val="22"/>
          <w:szCs w:val="22"/>
        </w:rPr>
        <w:t xml:space="preserve">Nothing in this response, or omitted from it, is an admission of any fact or contention advanced by the Respondent, and nothing in it waives any privilege.</w:t>
      </w:r>
    </w:p>
    <w:p>
      <w:pPr>
        <w:spacing w:after="120" w:before="240"/>
      </w:pPr>
      <w:r>
        <w:rPr>
          <w:rFonts w:ascii="Calibri" w:cs="Calibri" w:eastAsia="Calibri" w:hAnsi="Calibri"/>
          <w:b/>
          <w:bCs/>
          <w:sz w:val="22"/>
          <w:szCs w:val="22"/>
        </w:rPr>
        <w:t xml:space="preserve">B.  Delay</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sz w:val="22"/>
          <w:szCs w:val="22"/>
        </w:rPr>
        <w:t xml:space="preserve">The banning order under review was made on 20 December 2022 under section 73ZN(2)(a)(i) and varied on internal review on 21 April 2023, when the reviewer relied instead on section 73ZN(2)(a)(iii). It has been in force for more than three years and nine months of its five-year term, and will expire in December 2027. The criminal charges against the First Applicant, which were pending when both decisions were made, were dismissed on 23 February 2024 when the prosecution offered no evidence. The same approach was taken for the Third Applicant: its order was reduced to three years on internal review so that it would correspond with the time "reasonably expected to take for criminal proceedings relating to FFG to be finally determined", after which it "can be revisited" (FFG internal review, 8 June 2023). No order was revisited after the charges were dismissed.</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sz w:val="22"/>
          <w:szCs w:val="22"/>
        </w:rPr>
        <w:t xml:space="preserve">Since then:</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Respondent's application of 7 May 2026 under section 70 of the </w:t>
      </w:r>
      <w:r>
        <w:rPr>
          <w:rFonts w:ascii="Calibri" w:cs="Calibri" w:eastAsia="Calibri" w:hAnsi="Calibri"/>
          <w:i/>
          <w:iCs/>
          <w:sz w:val="22"/>
          <w:szCs w:val="22"/>
        </w:rPr>
        <w:t xml:space="preserve">Administrative Review Tribunal Act 2024</w:t>
      </w:r>
      <w:r>
        <w:rPr>
          <w:rFonts w:ascii="Calibri" w:cs="Calibri" w:eastAsia="Calibri" w:hAnsi="Calibri"/>
          <w:sz w:val="22"/>
          <w:szCs w:val="22"/>
        </w:rPr>
        <w:t xml:space="preserve"> (</w:t>
      </w:r>
      <w:r>
        <w:rPr>
          <w:rFonts w:ascii="Calibri" w:cs="Calibri" w:eastAsia="Calibri" w:hAnsi="Calibri"/>
          <w:i/>
          <w:iCs/>
          <w:sz w:val="22"/>
          <w:szCs w:val="22"/>
        </w:rPr>
        <w:t xml:space="preserve">ART Act</w:t>
      </w:r>
      <w:r>
        <w:rPr>
          <w:rFonts w:ascii="Calibri" w:cs="Calibri" w:eastAsia="Calibri" w:hAnsi="Calibri"/>
          <w:sz w:val="22"/>
          <w:szCs w:val="22"/>
        </w:rPr>
        <w:t xml:space="preserve">) remains undetermined, although submissions in response were filed on 19 May 2026;</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at [41] of its decision the Tribunal directed the Respondent to file a proposed timetable within 14 days and indicated that the applications would then be relisted for a telephone directions hearing. The Respondent served its minute on 14 August 2026. No directions hearing has yet been listed;</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the Respondent's own minute proposed that it file the supplementary tender bundle by 28 August 2026. As at the date of this response the First Applicant has not received it; and</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the minute proposed that the applicants file their SFICs and evidence by 25 September 2026 — before the tender bundle, before the section 70 application is determined, and before the Respondent has identified the case it puts against each applicant. No order was made in those terms.</w:t>
      </w:r>
    </w:p>
    <w:p>
      <w:pPr>
        <w:tabs>
          <w:tab w:val="left" w:pos="567"/>
        </w:tabs>
        <w:spacing w:after="120" w:line="276"/>
        <w:ind w:left="567" w:hanging="567"/>
        <w:jc w:val="both"/>
      </w:pPr>
      <w:r>
        <w:rPr>
          <w:rFonts w:ascii="Calibri" w:cs="Calibri" w:eastAsia="Calibri" w:hAnsi="Calibri"/>
          <w:sz w:val="22"/>
          <w:szCs w:val="22"/>
        </w:rPr>
        <w:t xml:space="preserve">6.	</w:t>
      </w:r>
      <w:r>
        <w:rPr>
          <w:rFonts w:ascii="Calibri" w:cs="Calibri" w:eastAsia="Calibri" w:hAnsi="Calibri"/>
          <w:sz w:val="22"/>
          <w:szCs w:val="22"/>
        </w:rPr>
        <w:t xml:space="preserve">If the review is not heard and decided well before December 2027, the order will have run its course before its lawfulness and merits are determined. The First Applicant asks that the timetable be fixed at the earliest practicable directions hearing and that each step be tied to a firm date.</w:t>
      </w:r>
    </w:p>
    <w:p>
      <w:pPr>
        <w:spacing w:after="120" w:before="240"/>
      </w:pPr>
      <w:r>
        <w:rPr>
          <w:rFonts w:ascii="Calibri" w:cs="Calibri" w:eastAsia="Calibri" w:hAnsi="Calibri"/>
          <w:b/>
          <w:bCs/>
          <w:sz w:val="22"/>
          <w:szCs w:val="22"/>
        </w:rPr>
        <w:t xml:space="preserve">C.  The findings the Tribunal must make, and the evidence they require</w:t>
      </w:r>
    </w:p>
    <w:p>
      <w:pPr>
        <w:tabs>
          <w:tab w:val="left" w:pos="567"/>
        </w:tabs>
        <w:spacing w:after="120" w:line="276"/>
        <w:ind w:left="567" w:hanging="567"/>
        <w:jc w:val="both"/>
      </w:pPr>
      <w:r>
        <w:rPr>
          <w:rFonts w:ascii="Calibri" w:cs="Calibri" w:eastAsia="Calibri" w:hAnsi="Calibri"/>
          <w:sz w:val="22"/>
          <w:szCs w:val="22"/>
        </w:rPr>
        <w:t xml:space="preserve">7.	</w:t>
      </w:r>
      <w:r>
        <w:rPr>
          <w:rFonts w:ascii="Calibri" w:cs="Calibri" w:eastAsia="Calibri" w:hAnsi="Calibri"/>
          <w:sz w:val="22"/>
          <w:szCs w:val="22"/>
        </w:rPr>
        <w:t xml:space="preserve">At [38] of its decision the Tribunal identified that it will need to consider whether each applicant is a suitable person to be involved in the provision of services to people with disability under section 73ZN(2) of the </w:t>
      </w:r>
      <w:r>
        <w:rPr>
          <w:rFonts w:ascii="Calibri" w:cs="Calibri" w:eastAsia="Calibri" w:hAnsi="Calibri"/>
          <w:i/>
          <w:iCs/>
          <w:sz w:val="22"/>
          <w:szCs w:val="22"/>
        </w:rPr>
        <w:t xml:space="preserve">National Disability Insurance Scheme Act 2013</w:t>
      </w:r>
      <w:r>
        <w:rPr>
          <w:rFonts w:ascii="Calibri" w:cs="Calibri" w:eastAsia="Calibri" w:hAnsi="Calibri"/>
          <w:sz w:val="22"/>
          <w:szCs w:val="22"/>
        </w:rPr>
        <w:t xml:space="preserve">, which will require findings relating to the allegations, including: (a) whether NDIS funding was made or received for services that had not been provided to the participant; (b) whether Mr Reid or Mrs Reid intimidated or harassed any participant; and (c) whether Mr Reid or Mrs Reid contravened their banning orders.</w:t>
      </w:r>
    </w:p>
    <w:p>
      <w:pPr>
        <w:tabs>
          <w:tab w:val="left" w:pos="567"/>
        </w:tabs>
        <w:spacing w:after="120" w:line="276"/>
        <w:ind w:left="567" w:hanging="567"/>
        <w:jc w:val="both"/>
      </w:pPr>
      <w:r>
        <w:rPr>
          <w:rFonts w:ascii="Calibri" w:cs="Calibri" w:eastAsia="Calibri" w:hAnsi="Calibri"/>
          <w:sz w:val="22"/>
          <w:szCs w:val="22"/>
        </w:rPr>
        <w:t xml:space="preserve">8.	</w:t>
      </w:r>
      <w:r>
        <w:rPr>
          <w:rFonts w:ascii="Calibri" w:cs="Calibri" w:eastAsia="Calibri" w:hAnsi="Calibri"/>
          <w:sz w:val="22"/>
          <w:szCs w:val="22"/>
        </w:rPr>
        <w:t xml:space="preserve">The matters summarised at [35] to [37] of the decision are, as [38] records, allegations. They are not findings. The First Applicant disputes them in so far as they are relied on against her.</w:t>
      </w:r>
    </w:p>
    <w:p>
      <w:pPr>
        <w:tabs>
          <w:tab w:val="left" w:pos="567"/>
        </w:tabs>
        <w:spacing w:after="120" w:line="276"/>
        <w:ind w:left="567" w:hanging="567"/>
        <w:jc w:val="both"/>
      </w:pPr>
      <w:r>
        <w:rPr>
          <w:rFonts w:ascii="Calibri" w:cs="Calibri" w:eastAsia="Calibri" w:hAnsi="Calibri"/>
          <w:sz w:val="22"/>
          <w:szCs w:val="22"/>
        </w:rPr>
        <w:t xml:space="preserve">9.	</w:t>
      </w:r>
      <w:r>
        <w:rPr>
          <w:rFonts w:ascii="Calibri" w:cs="Calibri" w:eastAsia="Calibri" w:hAnsi="Calibri"/>
          <w:sz w:val="22"/>
          <w:szCs w:val="22"/>
        </w:rPr>
        <w:t xml:space="preserve">The question at [38] is the suitability of each applicant. The allegations at [38](b) and (c) are expressly personal. The allegation at [38](a) concerns claims made by two companies. For it to bear on the First Applicant's suitability, the Respondent must establish not only that particular claims were made for services not provided, but what the First Applicant personally did or failed to do in relation to them, in which company, and while she held what office. The Respondent's own Banning Order Policy (tender T6, p 141) states that a member of the key personnel of a provider "would be unlikely to receive a banning order, unless either directly involved in the conduct of concern or having failed to take appropriate steps for which they were responsible which significantly facilitated, contributed to or exacerbated the conduct", and that "the mere fact a charge has been laid will of itself be unlikely to justify a banning order" (T6, p 140–141). The Commission's own briefing note recorded that the action "may be viewed as quite strong given that the complaints and breaches focus on administrative and personal errors" (EC22-002000 at [4], T9, p 158).</w:t>
      </w:r>
    </w:p>
    <w:p>
      <w:pPr>
        <w:tabs>
          <w:tab w:val="left" w:pos="567"/>
        </w:tabs>
        <w:spacing w:after="120" w:line="276"/>
        <w:ind w:left="567" w:hanging="567"/>
        <w:jc w:val="both"/>
      </w:pPr>
      <w:r>
        <w:rPr>
          <w:rFonts w:ascii="Calibri" w:cs="Calibri" w:eastAsia="Calibri" w:hAnsi="Calibri"/>
          <w:sz w:val="22"/>
          <w:szCs w:val="22"/>
        </w:rPr>
        <w:t xml:space="preserve">10.	</w:t>
      </w:r>
      <w:r>
        <w:rPr>
          <w:rFonts w:ascii="Calibri" w:cs="Calibri" w:eastAsia="Calibri" w:hAnsi="Calibri"/>
          <w:sz w:val="22"/>
          <w:szCs w:val="22"/>
        </w:rPr>
        <w:t xml:space="preserve">The allegations are serious: in substance, that public funds were claimed for services that were never delivered. The Tribunal is not bound by the rules of evidence, but findings of that kind call for cogent and probative evidence. The Respondent's current material consists largely of statements taken by the National Disability Insurance Agency for a prosecution that has been discontinued, and summaries of them. It does not, for any claim, set the invoice against the NDIA payment record, the plan manager's record, the roster or the worker's pay record, or record whether the claim was later cancelled, offset or repaid.</w:t>
      </w:r>
    </w:p>
    <w:p>
      <w:pPr>
        <w:tabs>
          <w:tab w:val="left" w:pos="567"/>
        </w:tabs>
        <w:spacing w:after="120" w:line="276"/>
        <w:ind w:left="567" w:hanging="567"/>
        <w:jc w:val="both"/>
      </w:pPr>
      <w:r>
        <w:rPr>
          <w:rFonts w:ascii="Calibri" w:cs="Calibri" w:eastAsia="Calibri" w:hAnsi="Calibri"/>
          <w:sz w:val="22"/>
          <w:szCs w:val="22"/>
        </w:rPr>
        <w:t xml:space="preserve">11.	</w:t>
      </w:r>
      <w:r>
        <w:rPr>
          <w:rFonts w:ascii="Calibri" w:cs="Calibri" w:eastAsia="Calibri" w:hAnsi="Calibri"/>
          <w:sz w:val="22"/>
          <w:szCs w:val="22"/>
        </w:rPr>
        <w:t xml:space="preserve">The First Applicant does not ask the Tribunal to limit what the Respondent may rely on. He asks that the Respondent be required to identify, before the applicants file their evidence, the specific claims and conduct it relies on against her and the evidence that proves each of them, so that the hearing is confined to a defined case and the applicants are not required to answer allegations at large.</w:t>
      </w:r>
    </w:p>
    <w:p>
      <w:pPr>
        <w:tabs>
          <w:tab w:val="left" w:pos="567"/>
        </w:tabs>
        <w:spacing w:after="120" w:line="276"/>
        <w:ind w:left="567" w:hanging="567"/>
        <w:jc w:val="both"/>
      </w:pPr>
      <w:r>
        <w:rPr>
          <w:rFonts w:ascii="Calibri" w:cs="Calibri" w:eastAsia="Calibri" w:hAnsi="Calibri"/>
          <w:sz w:val="22"/>
          <w:szCs w:val="22"/>
        </w:rPr>
        <w:t xml:space="preserve">11A.	</w:t>
      </w:r>
      <w:r>
        <w:rPr>
          <w:rFonts w:ascii="Calibri" w:cs="Calibri" w:eastAsia="Calibri" w:hAnsi="Calibri"/>
          <w:sz w:val="22"/>
          <w:szCs w:val="22"/>
        </w:rPr>
        <w:t xml:space="preserve">The First Applicant's first language is Farsi (Persian). As the Tribunal noted at [39](i), nothing compels her to answer questions that may tend to incriminate her. She asks that an interpreter be provided for every case event and the hearing, and that any objection on the ground of privilege be taken question by question, so that the exercise of the privilege does not delay or fragment the hearing.</w:t>
      </w:r>
    </w:p>
    <w:p>
      <w:pPr>
        <w:spacing w:after="120" w:before="240"/>
      </w:pPr>
      <w:r>
        <w:rPr>
          <w:rFonts w:ascii="Calibri" w:cs="Calibri" w:eastAsia="Calibri" w:hAnsi="Calibri"/>
          <w:b/>
          <w:bCs/>
          <w:sz w:val="22"/>
          <w:szCs w:val="22"/>
        </w:rPr>
        <w:t xml:space="preserve">D.  Outstanding documents</w:t>
      </w:r>
    </w:p>
    <w:p>
      <w:pPr>
        <w:tabs>
          <w:tab w:val="left" w:pos="567"/>
        </w:tabs>
        <w:spacing w:after="120" w:line="276"/>
        <w:ind w:left="567" w:hanging="567"/>
        <w:jc w:val="both"/>
      </w:pPr>
      <w:r>
        <w:rPr>
          <w:rFonts w:ascii="Calibri" w:cs="Calibri" w:eastAsia="Calibri" w:hAnsi="Calibri"/>
          <w:sz w:val="22"/>
          <w:szCs w:val="22"/>
        </w:rPr>
        <w:t xml:space="preserve">12.	</w:t>
      </w:r>
      <w:r>
        <w:rPr>
          <w:rFonts w:ascii="Calibri" w:cs="Calibri" w:eastAsia="Calibri" w:hAnsi="Calibri"/>
          <w:sz w:val="22"/>
          <w:szCs w:val="22"/>
        </w:rPr>
        <w:t xml:space="preserve">Briefing note EC22-002000 (tender T9, p 158), which recommended the action against the First Applicant, records that documents were submitted to the Legal Services Branch and that its input is at Attachment 55, and refers to a considerations document (Attachment 1D) and a key-issues document (Attachment 6). Under its heading "Risks / Sensitivities" it states: "It is likely that the Commission's action against the Provider and individual may be viewed as quite strong given that the complaints and breaches focus on administrative and personal errors." Documents bearing on the Commission's own assessment of risk and proportionality are relevant to the review.</w:t>
      </w:r>
    </w:p>
    <w:p>
      <w:pPr>
        <w:tabs>
          <w:tab w:val="left" w:pos="567"/>
        </w:tabs>
        <w:spacing w:after="120" w:line="276"/>
        <w:ind w:left="567" w:hanging="567"/>
        <w:jc w:val="both"/>
      </w:pPr>
      <w:r>
        <w:rPr>
          <w:rFonts w:ascii="Calibri" w:cs="Calibri" w:eastAsia="Calibri" w:hAnsi="Calibri"/>
          <w:sz w:val="22"/>
          <w:szCs w:val="22"/>
        </w:rPr>
        <w:t xml:space="preserve">13.	</w:t>
      </w:r>
      <w:r>
        <w:rPr>
          <w:rFonts w:ascii="Calibri" w:cs="Calibri" w:eastAsia="Calibri" w:hAnsi="Calibri"/>
          <w:sz w:val="22"/>
          <w:szCs w:val="22"/>
        </w:rPr>
        <w:t xml:space="preserve">The internal review reasons of 21 April 2023 changed the statutory basis of the order from section 73ZN(2)(a)(i) to section 73ZN(2)(a)(iii). The First Applicant asks that the Respondent state which limb it now relies on, and the facts said to satisfy it.</w:t>
      </w:r>
    </w:p>
    <w:p>
      <w:pPr>
        <w:tabs>
          <w:tab w:val="left" w:pos="567"/>
        </w:tabs>
        <w:spacing w:after="120" w:line="276"/>
        <w:ind w:left="567" w:hanging="567"/>
        <w:jc w:val="both"/>
      </w:pPr>
      <w:r>
        <w:rPr>
          <w:rFonts w:ascii="Calibri" w:cs="Calibri" w:eastAsia="Calibri" w:hAnsi="Calibri"/>
          <w:sz w:val="22"/>
          <w:szCs w:val="22"/>
        </w:rPr>
        <w:t xml:space="preserve">14.	</w:t>
      </w:r>
      <w:r>
        <w:rPr>
          <w:rFonts w:ascii="Calibri" w:cs="Calibri" w:eastAsia="Calibri" w:hAnsi="Calibri"/>
          <w:sz w:val="22"/>
          <w:szCs w:val="22"/>
        </w:rPr>
        <w:t xml:space="preserve">Section 23 of the ART Act requires the decision-maker to give the Tribunal every document in its possession or control that is relevant to the review, and section 30 provides that the relevant Subdivision has effect despite any rule of law relating to legal professional privilege. The First Applicant does not ask that any document be disclosed to her in breach of an existing order. She asks that the documents be before the Tribunal and described sufficiently for relevance or restriction to be decided by the Tribunal.</w:t>
      </w:r>
    </w:p>
    <w:p>
      <w:pPr>
        <w:spacing w:after="120" w:before="240"/>
      </w:pPr>
      <w:r>
        <w:rPr>
          <w:rFonts w:ascii="Calibri" w:cs="Calibri" w:eastAsia="Calibri" w:hAnsi="Calibri"/>
          <w:b/>
          <w:bCs/>
          <w:sz w:val="22"/>
          <w:szCs w:val="22"/>
        </w:rPr>
        <w:t xml:space="preserve">E.  Form of any order</w:t>
      </w:r>
    </w:p>
    <w:p>
      <w:pPr>
        <w:tabs>
          <w:tab w:val="left" w:pos="567"/>
        </w:tabs>
        <w:spacing w:after="120" w:line="276"/>
        <w:ind w:left="567" w:hanging="567"/>
        <w:jc w:val="both"/>
      </w:pPr>
      <w:r>
        <w:rPr>
          <w:rFonts w:ascii="Calibri" w:cs="Calibri" w:eastAsia="Calibri" w:hAnsi="Calibri"/>
          <w:sz w:val="22"/>
          <w:szCs w:val="22"/>
        </w:rPr>
        <w:t xml:space="preserve">15.	</w:t>
      </w:r>
      <w:r>
        <w:rPr>
          <w:rFonts w:ascii="Calibri" w:cs="Calibri" w:eastAsia="Calibri" w:hAnsi="Calibri"/>
          <w:sz w:val="22"/>
          <w:szCs w:val="22"/>
        </w:rPr>
        <w:t xml:space="preserve">In </w:t>
      </w:r>
      <w:r>
        <w:rPr>
          <w:rFonts w:ascii="Calibri" w:cs="Calibri" w:eastAsia="Calibri" w:hAnsi="Calibri"/>
          <w:i/>
          <w:iCs/>
          <w:sz w:val="22"/>
          <w:szCs w:val="22"/>
        </w:rPr>
        <w:t xml:space="preserve">Sunflower Care Services Pty Ltd v Commissioner of the NDIS Quality and Safeguards Commission (No 2)</w:t>
      </w:r>
      <w:r>
        <w:rPr>
          <w:rFonts w:ascii="Calibri" w:cs="Calibri" w:eastAsia="Calibri" w:hAnsi="Calibri"/>
          <w:sz w:val="22"/>
          <w:szCs w:val="22"/>
        </w:rPr>
        <w:t xml:space="preserve"> [2025] FCA 1442, the Federal Court held that section 73ZN(2) does not authorise an order prohibiting a person from being indirectly involved in specified activities (at [128], [134] and [139]), and that the specified activities must be expressed in terms reasonably capable of being obeyed (at [131]); a clearly specified activity may nonetheless be restricted even where it only indirectly involves the provision of supports (at [134]). The order under review, like the original order of 20 December 2022 (which prohibited her from providing supports and services "directly or indirectly"), prohibits "any involvement with or in the NDIS sector, in any capacity", including "directly or indirectly". The First Applicant asks that the Respondent state in advance the order it will seek. That question is also relevant to the finding at [38](c): conduct can only contravene an order whose terms were capable of being understood and obeyed at the time.</w:t>
      </w:r>
    </w:p>
    <w:p>
      <w:pPr>
        <w:tabs>
          <w:tab w:val="left" w:pos="567"/>
        </w:tabs>
        <w:spacing w:after="120" w:line="276"/>
        <w:ind w:left="567" w:hanging="567"/>
        <w:jc w:val="both"/>
      </w:pPr>
      <w:r>
        <w:rPr>
          <w:rFonts w:ascii="Calibri" w:cs="Calibri" w:eastAsia="Calibri" w:hAnsi="Calibri"/>
          <w:sz w:val="22"/>
          <w:szCs w:val="22"/>
        </w:rPr>
        <w:t xml:space="preserve">16.	</w:t>
      </w:r>
      <w:r>
        <w:rPr>
          <w:rFonts w:ascii="Calibri" w:cs="Calibri" w:eastAsia="Calibri" w:hAnsi="Calibri"/>
          <w:sz w:val="22"/>
          <w:szCs w:val="22"/>
        </w:rPr>
        <w:t xml:space="preserve">The Tribunal applies the law in force at the time of its own decision (</w:t>
      </w:r>
      <w:r>
        <w:rPr>
          <w:rFonts w:ascii="Calibri" w:cs="Calibri" w:eastAsia="Calibri" w:hAnsi="Calibri"/>
          <w:i/>
          <w:iCs/>
          <w:sz w:val="22"/>
          <w:szCs w:val="22"/>
        </w:rPr>
        <w:t xml:space="preserve">Khalil v Minister for Immigration, Citizenship and Multicultural Affairs</w:t>
      </w:r>
      <w:r>
        <w:rPr>
          <w:rFonts w:ascii="Calibri" w:cs="Calibri" w:eastAsia="Calibri" w:hAnsi="Calibri"/>
          <w:sz w:val="22"/>
          <w:szCs w:val="22"/>
        </w:rPr>
        <w:t xml:space="preserve"> [2025] HCA 33). If the Respondent intends to rely on the provisions inserted into section 73ZN in 2026, it should say so before the applicants file their evidence.</w:t>
      </w:r>
    </w:p>
    <w:p>
      <w:pPr>
        <w:spacing w:after="120" w:before="240"/>
      </w:pPr>
      <w:r>
        <w:rPr>
          <w:rFonts w:ascii="Calibri" w:cs="Calibri" w:eastAsia="Calibri" w:hAnsi="Calibri"/>
          <w:b/>
          <w:bCs/>
          <w:sz w:val="22"/>
          <w:szCs w:val="22"/>
        </w:rPr>
        <w:t xml:space="preserve">F.  Directions sought</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b/>
          <w:bCs/>
          <w:sz w:val="22"/>
          <w:szCs w:val="22"/>
        </w:rPr>
        <w:t xml:space="preserve">Directions hearing. </w:t>
      </w:r>
      <w:r>
        <w:rPr>
          <w:rFonts w:ascii="Calibri" w:cs="Calibri" w:eastAsia="Calibri" w:hAnsi="Calibri"/>
          <w:sz w:val="22"/>
          <w:szCs w:val="22"/>
        </w:rPr>
        <w:t xml:space="preserve">The applications be listed for the telephone directions hearing foreshadowed at [41] of the decision of 30 July 2026 at the earliest available date.</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b/>
          <w:bCs/>
          <w:sz w:val="22"/>
          <w:szCs w:val="22"/>
        </w:rPr>
        <w:t xml:space="preserve">Section 70 application. </w:t>
      </w:r>
      <w:r>
        <w:rPr>
          <w:rFonts w:ascii="Calibri" w:cs="Calibri" w:eastAsia="Calibri" w:hAnsi="Calibri"/>
          <w:sz w:val="22"/>
          <w:szCs w:val="22"/>
        </w:rPr>
        <w:t xml:space="preserve">The Respondent's application of 7 May 2026 be determined at, or as soon as practicable after, the directions hearing on the materials filed, the Tribunal being at liberty to inspect the documents.</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b/>
          <w:bCs/>
          <w:sz w:val="22"/>
          <w:szCs w:val="22"/>
        </w:rPr>
        <w:t xml:space="preserve">Withheld documents. </w:t>
      </w:r>
      <w:r>
        <w:rPr>
          <w:rFonts w:ascii="Calibri" w:cs="Calibri" w:eastAsia="Calibri" w:hAnsi="Calibri"/>
          <w:sz w:val="22"/>
          <w:szCs w:val="22"/>
        </w:rPr>
        <w:t xml:space="preserve">Within 14 days, the Respondent (a) give the Tribunal each of Attachments 1D, 6 and 55 to EC22-002000 and each attachment to EC22-002581, to the extent not already given; and (b) file and serve a list describing each (date, author, recipient, general nature) and the basis on which it is said to be irrelevant or not to be disclosed. Any applicant may respond within 7 days, and any dispute be determined on the papers or at a case event.</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b/>
          <w:bCs/>
          <w:sz w:val="22"/>
          <w:szCs w:val="22"/>
        </w:rPr>
        <w:t xml:space="preserve">Supplementary tender bundle. </w:t>
      </w:r>
      <w:r>
        <w:rPr>
          <w:rFonts w:ascii="Calibri" w:cs="Calibri" w:eastAsia="Calibri" w:hAnsi="Calibri"/>
          <w:sz w:val="22"/>
          <w:szCs w:val="22"/>
        </w:rPr>
        <w:t xml:space="preserve">Within 14 days of the determination of the section 70 application, and in any event by a fixed date, the Respondent lodge and serve its supplementary tender bundle.</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b/>
          <w:bCs/>
          <w:sz w:val="22"/>
          <w:szCs w:val="22"/>
        </w:rPr>
        <w:t xml:space="preserve">Delegations. </w:t>
      </w:r>
      <w:r>
        <w:rPr>
          <w:rFonts w:ascii="Calibri" w:cs="Calibri" w:eastAsia="Calibri" w:hAnsi="Calibri"/>
          <w:sz w:val="22"/>
          <w:szCs w:val="22"/>
        </w:rPr>
        <w:t xml:space="preserve">Within 14 days, the Respondent serve the instrument of delegation under which each decision of 20 December 2022 and 21 April 2023 concerning the First Applicant was made (EC22-002000 at [7] refers to Delegations Instrument No. 2 of 2022).</w:t>
      </w:r>
    </w:p>
    <w:p>
      <w:pPr>
        <w:tabs>
          <w:tab w:val="left" w:pos="567"/>
        </w:tabs>
        <w:spacing w:after="120" w:line="276"/>
        <w:ind w:left="567" w:hanging="567"/>
        <w:jc w:val="both"/>
      </w:pPr>
      <w:r>
        <w:rPr>
          <w:rFonts w:ascii="Calibri" w:cs="Calibri" w:eastAsia="Calibri" w:hAnsi="Calibri"/>
          <w:sz w:val="22"/>
          <w:szCs w:val="22"/>
        </w:rPr>
        <w:t xml:space="preserve">6.	</w:t>
      </w:r>
      <w:r>
        <w:rPr>
          <w:rFonts w:ascii="Calibri" w:cs="Calibri" w:eastAsia="Calibri" w:hAnsi="Calibri"/>
          <w:b/>
          <w:bCs/>
          <w:sz w:val="22"/>
          <w:szCs w:val="22"/>
        </w:rPr>
        <w:t xml:space="preserve">Respondent's statement of case and particulars. </w:t>
      </w:r>
      <w:r>
        <w:rPr>
          <w:rFonts w:ascii="Calibri" w:cs="Calibri" w:eastAsia="Calibri" w:hAnsi="Calibri"/>
          <w:sz w:val="22"/>
          <w:szCs w:val="22"/>
        </w:rPr>
        <w:t xml:space="preserve">Pursuant to section 79(2)(b) and (3) of the ART Act, within 28 days of service of the supplementary tender bundle, the Respondent file and serve a statement identifying, in respect of the First Applicant:</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decision it will ask the Tribunal to make and, if it seeks a banning order, its complete wording, duration and commencement, and its position on </w:t>
      </w:r>
      <w:r>
        <w:rPr>
          <w:rFonts w:ascii="Calibri" w:cs="Calibri" w:eastAsia="Calibri" w:hAnsi="Calibri"/>
          <w:i/>
          <w:iCs/>
          <w:sz w:val="22"/>
          <w:szCs w:val="22"/>
        </w:rPr>
        <w:t xml:space="preserve">Sunflower</w:t>
      </w:r>
      <w:r>
        <w:rPr>
          <w:rFonts w:ascii="Calibri" w:cs="Calibri" w:eastAsia="Calibri" w:hAnsi="Calibri"/>
          <w:sz w:val="22"/>
          <w:szCs w:val="22"/>
        </w:rPr>
        <w:t xml:space="preserve">;</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for the finding at [38](a): each claim relied on (participant, service dates, amount, invoice and payment request number, the entity that made the claim), whether the claim was later cancelled, offset or repaid, the office (if any) held by the First Applicant at that time, and the act or omission attributed to her personally, stating whether it alleges direct involvement or a failure to take steps for which he was responsible;</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for the finding at [38](b): each incident alleged against the First Applicant personally (date, participant, conduct and source);</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for the finding at [38](c): the date and conduct said to contravene a banning order, and the term of the order in force at that time;</w:t>
      </w:r>
    </w:p>
    <w:p>
      <w:pPr>
        <w:tabs>
          <w:tab w:val="left" w:pos="1134"/>
        </w:tabs>
        <w:spacing w:after="80" w:line="276"/>
        <w:ind w:left="1134" w:hanging="567"/>
        <w:jc w:val="both"/>
      </w:pPr>
      <w:r>
        <w:rPr>
          <w:rFonts w:ascii="Calibri" w:cs="Calibri" w:eastAsia="Calibri" w:hAnsi="Calibri"/>
          <w:sz w:val="22"/>
          <w:szCs w:val="22"/>
        </w:rPr>
        <w:t xml:space="preserve">(e)	</w:t>
      </w:r>
      <w:r>
        <w:rPr>
          <w:rFonts w:ascii="Calibri" w:cs="Calibri" w:eastAsia="Calibri" w:hAnsi="Calibri"/>
          <w:sz w:val="22"/>
          <w:szCs w:val="22"/>
        </w:rPr>
        <w:t xml:space="preserve">for each matter in (b) to (d), the document or statement (by tender reference) relied on to prove it, and any expert or forensic analysis of the claims on which it intends to rely;</w:t>
      </w:r>
    </w:p>
    <w:p>
      <w:pPr>
        <w:tabs>
          <w:tab w:val="left" w:pos="1134"/>
        </w:tabs>
        <w:spacing w:after="80" w:line="276"/>
        <w:ind w:left="1134" w:hanging="567"/>
        <w:jc w:val="both"/>
      </w:pPr>
      <w:r>
        <w:rPr>
          <w:rFonts w:ascii="Calibri" w:cs="Calibri" w:eastAsia="Calibri" w:hAnsi="Calibri"/>
          <w:sz w:val="22"/>
          <w:szCs w:val="22"/>
        </w:rPr>
        <w:t xml:space="preserve">(f)	</w:t>
      </w:r>
      <w:r>
        <w:rPr>
          <w:rFonts w:ascii="Calibri" w:cs="Calibri" w:eastAsia="Calibri" w:hAnsi="Calibri"/>
          <w:sz w:val="22"/>
          <w:szCs w:val="22"/>
        </w:rPr>
        <w:t xml:space="preserve">whether it relies on any current investigation or proceeding concerning the First Applicant and, if so, its identity and status;</w:t>
      </w:r>
    </w:p>
    <w:p>
      <w:pPr>
        <w:tabs>
          <w:tab w:val="left" w:pos="1134"/>
        </w:tabs>
        <w:spacing w:after="80" w:line="276"/>
        <w:ind w:left="1134" w:hanging="567"/>
        <w:jc w:val="both"/>
      </w:pPr>
      <w:r>
        <w:rPr>
          <w:rFonts w:ascii="Calibri" w:cs="Calibri" w:eastAsia="Calibri" w:hAnsi="Calibri"/>
          <w:sz w:val="22"/>
          <w:szCs w:val="22"/>
        </w:rPr>
        <w:t xml:space="preserve">(g)	</w:t>
      </w:r>
      <w:r>
        <w:rPr>
          <w:rFonts w:ascii="Calibri" w:cs="Calibri" w:eastAsia="Calibri" w:hAnsi="Calibri"/>
          <w:sz w:val="22"/>
          <w:szCs w:val="22"/>
        </w:rPr>
        <w:t xml:space="preserve">each witness it intends to call, and each statement on which it intends to rely without calling its maker; and</w:t>
      </w:r>
    </w:p>
    <w:p>
      <w:pPr>
        <w:tabs>
          <w:tab w:val="left" w:pos="1134"/>
        </w:tabs>
        <w:spacing w:after="80" w:line="276"/>
        <w:ind w:left="1134" w:hanging="567"/>
        <w:jc w:val="both"/>
      </w:pPr>
      <w:r>
        <w:rPr>
          <w:rFonts w:ascii="Calibri" w:cs="Calibri" w:eastAsia="Calibri" w:hAnsi="Calibri"/>
          <w:sz w:val="22"/>
          <w:szCs w:val="22"/>
        </w:rPr>
        <w:t xml:space="preserve">(h)	</w:t>
      </w:r>
      <w:r>
        <w:rPr>
          <w:rFonts w:ascii="Calibri" w:cs="Calibri" w:eastAsia="Calibri" w:hAnsi="Calibri"/>
          <w:sz w:val="22"/>
          <w:szCs w:val="22"/>
        </w:rPr>
        <w:t xml:space="preserve">whether it relies on section 73ZN(2B) or (2C) of the NDIS Act as in force from 9 April 2026 and, if so, how it says those provisions apply to conduct before that date.</w:t>
      </w:r>
    </w:p>
    <w:p>
      <w:pPr>
        <w:tabs>
          <w:tab w:val="left" w:pos="567"/>
        </w:tabs>
        <w:spacing w:after="120" w:line="276"/>
        <w:ind w:left="567" w:hanging="567"/>
        <w:jc w:val="both"/>
      </w:pPr>
      <w:r>
        <w:rPr>
          <w:rFonts w:ascii="Calibri" w:cs="Calibri" w:eastAsia="Calibri" w:hAnsi="Calibri"/>
          <w:sz w:val="22"/>
          <w:szCs w:val="22"/>
        </w:rPr>
        <w:t xml:space="preserve">7.	</w:t>
      </w:r>
      <w:r>
        <w:rPr>
          <w:rFonts w:ascii="Calibri" w:cs="Calibri" w:eastAsia="Calibri" w:hAnsi="Calibri"/>
          <w:b/>
          <w:bCs/>
          <w:sz w:val="22"/>
          <w:szCs w:val="22"/>
        </w:rPr>
        <w:t xml:space="preserve">Limit of the Respondent's case. </w:t>
      </w:r>
      <w:r>
        <w:rPr>
          <w:rFonts w:ascii="Calibri" w:cs="Calibri" w:eastAsia="Calibri" w:hAnsi="Calibri"/>
          <w:sz w:val="22"/>
          <w:szCs w:val="22"/>
        </w:rPr>
        <w:t xml:space="preserve">Save with the leave of the Tribunal, the Respondent be confined at the hearing to the matters particularised under direction 6.</w:t>
      </w:r>
    </w:p>
    <w:p>
      <w:pPr>
        <w:tabs>
          <w:tab w:val="left" w:pos="567"/>
        </w:tabs>
        <w:spacing w:after="120" w:line="276"/>
        <w:ind w:left="567" w:hanging="567"/>
        <w:jc w:val="both"/>
      </w:pPr>
      <w:r>
        <w:rPr>
          <w:rFonts w:ascii="Calibri" w:cs="Calibri" w:eastAsia="Calibri" w:hAnsi="Calibri"/>
          <w:sz w:val="22"/>
          <w:szCs w:val="22"/>
        </w:rPr>
        <w:t xml:space="preserve">8.	</w:t>
      </w:r>
      <w:r>
        <w:rPr>
          <w:rFonts w:ascii="Calibri" w:cs="Calibri" w:eastAsia="Calibri" w:hAnsi="Calibri"/>
          <w:b/>
          <w:bCs/>
          <w:sz w:val="22"/>
          <w:szCs w:val="22"/>
        </w:rPr>
        <w:t xml:space="preserve">Applicants' SFIC and evidence. </w:t>
      </w:r>
      <w:r>
        <w:rPr>
          <w:rFonts w:ascii="Calibri" w:cs="Calibri" w:eastAsia="Calibri" w:hAnsi="Calibri"/>
          <w:sz w:val="22"/>
          <w:szCs w:val="22"/>
        </w:rPr>
        <w:t xml:space="preserve">Each applicant file and serve an updated SFIC and any further evidence within 35 days of service of the statement under direction 6.</w:t>
      </w:r>
    </w:p>
    <w:p>
      <w:pPr>
        <w:tabs>
          <w:tab w:val="left" w:pos="567"/>
        </w:tabs>
        <w:spacing w:after="120" w:line="276"/>
        <w:ind w:left="567" w:hanging="567"/>
        <w:jc w:val="both"/>
      </w:pPr>
      <w:r>
        <w:rPr>
          <w:rFonts w:ascii="Calibri" w:cs="Calibri" w:eastAsia="Calibri" w:hAnsi="Calibri"/>
          <w:sz w:val="22"/>
          <w:szCs w:val="22"/>
        </w:rPr>
        <w:t xml:space="preserve">9.	</w:t>
      </w:r>
      <w:r>
        <w:rPr>
          <w:rFonts w:ascii="Calibri" w:cs="Calibri" w:eastAsia="Calibri" w:hAnsi="Calibri"/>
          <w:b/>
          <w:bCs/>
          <w:sz w:val="22"/>
          <w:szCs w:val="22"/>
        </w:rPr>
        <w:t xml:space="preserve">Respondent's SFIC and evidence. </w:t>
      </w:r>
      <w:r>
        <w:rPr>
          <w:rFonts w:ascii="Calibri" w:cs="Calibri" w:eastAsia="Calibri" w:hAnsi="Calibri"/>
          <w:sz w:val="22"/>
          <w:szCs w:val="22"/>
        </w:rPr>
        <w:t xml:space="preserve">The Respondent file and serve its SFIC and any further evidence within 28 days after direction 8.</w:t>
      </w:r>
    </w:p>
    <w:p>
      <w:pPr>
        <w:tabs>
          <w:tab w:val="left" w:pos="567"/>
        </w:tabs>
        <w:spacing w:after="120" w:line="276"/>
        <w:ind w:left="567" w:hanging="567"/>
        <w:jc w:val="both"/>
      </w:pPr>
      <w:r>
        <w:rPr>
          <w:rFonts w:ascii="Calibri" w:cs="Calibri" w:eastAsia="Calibri" w:hAnsi="Calibri"/>
          <w:sz w:val="22"/>
          <w:szCs w:val="22"/>
        </w:rPr>
        <w:t xml:space="preserve">10.	</w:t>
      </w:r>
      <w:r>
        <w:rPr>
          <w:rFonts w:ascii="Calibri" w:cs="Calibri" w:eastAsia="Calibri" w:hAnsi="Calibri"/>
          <w:b/>
          <w:bCs/>
          <w:sz w:val="22"/>
          <w:szCs w:val="22"/>
        </w:rPr>
        <w:t xml:space="preserve">Reply. </w:t>
      </w:r>
      <w:r>
        <w:rPr>
          <w:rFonts w:ascii="Calibri" w:cs="Calibri" w:eastAsia="Calibri" w:hAnsi="Calibri"/>
          <w:sz w:val="22"/>
          <w:szCs w:val="22"/>
        </w:rPr>
        <w:t xml:space="preserve">Any applicant file and serve any reply within 14 days after direction 9.</w:t>
      </w:r>
    </w:p>
    <w:p>
      <w:pPr>
        <w:tabs>
          <w:tab w:val="left" w:pos="567"/>
        </w:tabs>
        <w:spacing w:after="120" w:line="276"/>
        <w:ind w:left="567" w:hanging="567"/>
        <w:jc w:val="both"/>
      </w:pPr>
      <w:r>
        <w:rPr>
          <w:rFonts w:ascii="Calibri" w:cs="Calibri" w:eastAsia="Calibri" w:hAnsi="Calibri"/>
          <w:sz w:val="22"/>
          <w:szCs w:val="22"/>
        </w:rPr>
        <w:t xml:space="preserve">11.	</w:t>
      </w:r>
      <w:r>
        <w:rPr>
          <w:rFonts w:ascii="Calibri" w:cs="Calibri" w:eastAsia="Calibri" w:hAnsi="Calibri"/>
          <w:b/>
          <w:bCs/>
          <w:sz w:val="22"/>
          <w:szCs w:val="22"/>
        </w:rPr>
        <w:t xml:space="preserve">Cross-examination. </w:t>
      </w:r>
      <w:r>
        <w:rPr>
          <w:rFonts w:ascii="Calibri" w:cs="Calibri" w:eastAsia="Calibri" w:hAnsi="Calibri"/>
          <w:sz w:val="22"/>
          <w:szCs w:val="22"/>
        </w:rPr>
        <w:t xml:space="preserve">Within 14 days after direction 9, any applicant may serve a notice identifying each statement-maker whose attendance is sought for cross-examination and the propositions in dispute. Any dispute be determined at a case event. The procedure in Part 6 of the Tribunal's Common Procedures Practice Direction 2026 applies to any statement-maker who is required for cross-examination but not made available.</w:t>
      </w:r>
    </w:p>
    <w:p>
      <w:pPr>
        <w:tabs>
          <w:tab w:val="left" w:pos="567"/>
        </w:tabs>
        <w:spacing w:after="120" w:line="276"/>
        <w:ind w:left="567" w:hanging="567"/>
        <w:jc w:val="both"/>
      </w:pPr>
      <w:r>
        <w:rPr>
          <w:rFonts w:ascii="Calibri" w:cs="Calibri" w:eastAsia="Calibri" w:hAnsi="Calibri"/>
          <w:sz w:val="22"/>
          <w:szCs w:val="22"/>
        </w:rPr>
        <w:t xml:space="preserve">12.	</w:t>
      </w:r>
      <w:r>
        <w:rPr>
          <w:rFonts w:ascii="Calibri" w:cs="Calibri" w:eastAsia="Calibri" w:hAnsi="Calibri"/>
          <w:b/>
          <w:bCs/>
          <w:sz w:val="22"/>
          <w:szCs w:val="22"/>
        </w:rPr>
        <w:t xml:space="preserve">Listing. </w:t>
      </w:r>
      <w:r>
        <w:rPr>
          <w:rFonts w:ascii="Calibri" w:cs="Calibri" w:eastAsia="Calibri" w:hAnsi="Calibri"/>
          <w:sz w:val="22"/>
          <w:szCs w:val="22"/>
        </w:rPr>
        <w:t xml:space="preserve">The matters be listed for final hearing on the first available date after direction 10, and in any event with a view to a decision before December 2027. The hearing estimate be fixed at a short case event after direction 11, taking account of witnesses and the First Applicant's interpreter.</w:t>
      </w:r>
    </w:p>
    <w:p>
      <w:pPr>
        <w:tabs>
          <w:tab w:val="left" w:pos="567"/>
        </w:tabs>
        <w:spacing w:after="120" w:line="276"/>
        <w:ind w:left="567" w:hanging="567"/>
        <w:jc w:val="both"/>
      </w:pPr>
      <w:r>
        <w:rPr>
          <w:rFonts w:ascii="Calibri" w:cs="Calibri" w:eastAsia="Calibri" w:hAnsi="Calibri"/>
          <w:sz w:val="22"/>
          <w:szCs w:val="22"/>
        </w:rPr>
        <w:t xml:space="preserve">12A.	</w:t>
      </w:r>
      <w:r>
        <w:rPr>
          <w:rFonts w:ascii="Calibri" w:cs="Calibri" w:eastAsia="Calibri" w:hAnsi="Calibri"/>
          <w:b/>
          <w:bCs/>
          <w:sz w:val="22"/>
          <w:szCs w:val="22"/>
        </w:rPr>
        <w:t xml:space="preserve">Interpreter. </w:t>
      </w:r>
      <w:r>
        <w:rPr>
          <w:rFonts w:ascii="Calibri" w:cs="Calibri" w:eastAsia="Calibri" w:hAnsi="Calibri"/>
          <w:sz w:val="22"/>
          <w:szCs w:val="22"/>
        </w:rPr>
        <w:t xml:space="preserve">An interpreter in Farsi (Persian) be provided for the First Applicant at each case event and at the final hearing.</w:t>
      </w:r>
    </w:p>
    <w:p>
      <w:pPr>
        <w:tabs>
          <w:tab w:val="left" w:pos="567"/>
        </w:tabs>
        <w:spacing w:after="120" w:line="276"/>
        <w:ind w:left="567" w:hanging="567"/>
        <w:jc w:val="both"/>
      </w:pPr>
      <w:r>
        <w:rPr>
          <w:rFonts w:ascii="Calibri" w:cs="Calibri" w:eastAsia="Calibri" w:hAnsi="Calibri"/>
          <w:sz w:val="22"/>
          <w:szCs w:val="22"/>
        </w:rPr>
        <w:t xml:space="preserve">13.	</w:t>
      </w:r>
      <w:r>
        <w:rPr>
          <w:rFonts w:ascii="Calibri" w:cs="Calibri" w:eastAsia="Calibri" w:hAnsi="Calibri"/>
          <w:b/>
          <w:bCs/>
          <w:sz w:val="22"/>
          <w:szCs w:val="22"/>
        </w:rPr>
        <w:t xml:space="preserve">Previous directions. </w:t>
      </w:r>
      <w:r>
        <w:rPr>
          <w:rFonts w:ascii="Calibri" w:cs="Calibri" w:eastAsia="Calibri" w:hAnsi="Calibri"/>
          <w:sz w:val="22"/>
          <w:szCs w:val="22"/>
        </w:rPr>
        <w:t xml:space="preserve">The directions of 15 May 2024 be vacated and replaced by these directions.</w:t>
      </w:r>
    </w:p>
    <w:p>
      <w:pPr>
        <w:tabs>
          <w:tab w:val="left" w:pos="567"/>
        </w:tabs>
        <w:spacing w:after="120" w:line="276"/>
        <w:ind w:left="567" w:hanging="567"/>
        <w:jc w:val="both"/>
      </w:pPr>
      <w:r>
        <w:rPr>
          <w:rFonts w:ascii="Calibri" w:cs="Calibri" w:eastAsia="Calibri" w:hAnsi="Calibri"/>
          <w:sz w:val="22"/>
          <w:szCs w:val="22"/>
        </w:rPr>
        <w:t xml:space="preserve">14.	</w:t>
      </w:r>
      <w:r>
        <w:rPr>
          <w:rFonts w:ascii="Calibri" w:cs="Calibri" w:eastAsia="Calibri" w:hAnsi="Calibri"/>
          <w:b/>
          <w:bCs/>
          <w:sz w:val="22"/>
          <w:szCs w:val="22"/>
        </w:rPr>
        <w:t xml:space="preserve">Liberty to apply </w:t>
      </w:r>
      <w:r>
        <w:rPr>
          <w:rFonts w:ascii="Calibri" w:cs="Calibri" w:eastAsia="Calibri" w:hAnsi="Calibri"/>
          <w:sz w:val="22"/>
          <w:szCs w:val="22"/>
        </w:rPr>
        <w:t xml:space="preserve">on reasonable notice, including for the issue of summonses under section 74 of the ART Act.</w:t>
      </w:r>
    </w:p>
    <w:p>
      <w:pPr>
        <w:spacing w:before="480"/>
      </w:pPr>
      <w:r>
        <w:rPr>
          <w:rFonts w:ascii="Calibri" w:cs="Calibri" w:eastAsia="Calibri" w:hAnsi="Calibri"/>
          <w:sz w:val="22"/>
          <w:szCs w:val="22"/>
        </w:rPr>
        <w:t xml:space="preserve">Dated: ______________________ 2026</w:t>
      </w:r>
    </w:p>
    <w:p>
      <w:pPr>
        <w:spacing w:before="600"/>
      </w:pPr>
      <w:r>
        <w:rPr>
          <w:rFonts w:ascii="Calibri" w:cs="Calibri" w:eastAsia="Calibri" w:hAnsi="Calibri"/>
          <w:sz w:val="22"/>
          <w:szCs w:val="22"/>
        </w:rPr>
        <w:t xml:space="preserve">________________________________</w:t>
      </w:r>
    </w:p>
    <w:p>
      <w:r>
        <w:rPr>
          <w:rFonts w:ascii="Calibri" w:cs="Calibri" w:eastAsia="Calibri" w:hAnsi="Calibri"/>
          <w:b/>
          <w:bCs/>
          <w:sz w:val="22"/>
          <w:szCs w:val="22"/>
        </w:rPr>
        <w:t xml:space="preserve">Vida Reid</w:t>
      </w:r>
    </w:p>
    <w:p>
      <w:r>
        <w:rPr>
          <w:rFonts w:ascii="Calibri" w:cs="Calibri" w:eastAsia="Calibri" w:hAnsi="Calibri"/>
          <w:sz w:val="22"/>
          <w:szCs w:val="22"/>
        </w:rPr>
        <w:t xml:space="preserve">First Applicant, in person</w:t>
      </w:r>
    </w:p>
    <w:sectPr>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2026-09-26T14:02:54.233Z</dcterms:created>
  <dcterms:modified xsi:type="dcterms:W3CDTF">2026-09-26T14:02:54.233Z</dcterms:modified>
</cp:coreProperties>
</file>

<file path=docProps/custom.xml><?xml version="1.0" encoding="utf-8"?>
<Properties xmlns="http://schemas.openxmlformats.org/officeDocument/2006/custom-properties" xmlns:vt="http://schemas.openxmlformats.org/officeDocument/2006/docPropsVTypes"/>
</file>