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SECOND APPLICANT'S RESPONSE AND PROPOSED DIRECTIONS</w:t>
      </w:r>
    </w:p>
    <w:p>
      <w:pPr>
        <w:spacing w:after="240"/>
        <w:jc w:val="center"/>
      </w:pPr>
      <w:r>
        <w:rPr>
          <w:rFonts w:ascii="Calibri" w:cs="Calibri" w:eastAsia="Calibri" w:hAnsi="Calibri"/>
          <w:sz w:val="22"/>
          <w:szCs w:val="22"/>
        </w:rPr>
        <w:t xml:space="preserve">in response to the Tribunal's decision of 30 July 2026 and the Respondent's proposed minute of order served on 14 August 2026</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Second Applicant, Mr Simon Reid, in matter 2023/3363. It does not state the position of, and does not bind, the other applicants.</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Second Applicant accepts the Tribunal's decision dated 30 July 2026 (sent to the parties on 31 July 2026) that the three applications be heard together, and supports the matters proceeding to a final hearing without further delay. The Second Applicant agrees with the broad steps the Respondent proposes in its minute of 14 August 2026 (a supplementary tender bundle, statements of facts, issues and contentions (</w:t>
      </w:r>
      <w:r>
        <w:rPr>
          <w:rFonts w:ascii="Calibri" w:cs="Calibri" w:eastAsia="Calibri" w:hAnsi="Calibri"/>
          <w:i/>
          <w:iCs/>
          <w:sz w:val="22"/>
          <w:szCs w:val="22"/>
        </w:rPr>
        <w:t xml:space="preserve">SFIC</w:t>
      </w:r>
      <w:r>
        <w:rPr>
          <w:rFonts w:ascii="Calibri" w:cs="Calibri" w:eastAsia="Calibri" w:hAnsi="Calibri"/>
          <w:sz w:val="22"/>
          <w:szCs w:val="22"/>
        </w:rPr>
        <w:t xml:space="preserve">) with evidence, and a final hearing), but not with their sequence or content, for the reasons below.</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Delay</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The banning order under review was made on 21 December 2022 and varied on internal review on 21 April 2023. It has been in force for more than three years and nine months of its five-year term, and will expire in December 2027. The criminal charges against the First Applicant, on which the duration of the order was expressly premised (internal review reasons at [46] to [47]), were dismissed on 23 February 2024 when the prosecution offered no evidence. The same approach was taken for the Third Applicant: its order was reduced to three years on internal review so that it would correspond with the time "reasonably expected to take for criminal proceedings relating to FFG to be finally determined", after which it "can be revisited" (FFG internal review, 8 June 2023). No order was revisited after the charges were dismissed.</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Since then:</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w:t>
      </w:r>
      <w:r>
        <w:rPr>
          <w:rFonts w:ascii="Calibri" w:cs="Calibri" w:eastAsia="Calibri" w:hAnsi="Calibri"/>
          <w:i/>
          <w:iCs/>
          <w:sz w:val="22"/>
          <w:szCs w:val="22"/>
        </w:rPr>
        <w:t xml:space="preserve">ART Act</w:t>
      </w:r>
      <w:r>
        <w:rPr>
          <w:rFonts w:ascii="Calibri" w:cs="Calibri" w:eastAsia="Calibri" w:hAnsi="Calibri"/>
          <w:sz w:val="22"/>
          <w:szCs w:val="22"/>
        </w:rPr>
        <w:t xml:space="preserve">) remains undetermined, although the Second Applicant filed submissions in response on 19 May 2026;</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at [41] of its decision the Tribunal directed the Respondent to file a proposed timetable within 14 days and indicated that the applications would then be relisted for a telephone directions hearing. The Respondent served its minute on 14 August 2026. No directions hearing has yet been listed;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the Respondent's own minute proposed that it file the supplementary tender bundle by 28 August 2026. As at the date of this response the Second Applicant has not received it; and</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minute proposed that the applicants file their SFICs and evidence by 25 September 2026 — before the tender bundle, before the section 70 application is determined, and before the Respondent has identified the case it puts against each applicant. No order was made in those terms.</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If the review is not heard and decided well before December 2027, the order will have run its course before its lawfulness and merits are determined. The Second Applicant asks that the timetable be fixed at the earliest practicable directions hearing and that each step be tied to a firm date.</w:t>
      </w:r>
    </w:p>
    <w:p>
      <w:pPr>
        <w:spacing w:after="120" w:before="240"/>
      </w:pPr>
      <w:r>
        <w:rPr>
          <w:rFonts w:ascii="Calibri" w:cs="Calibri" w:eastAsia="Calibri" w:hAnsi="Calibri"/>
          <w:b/>
          <w:bCs/>
          <w:sz w:val="22"/>
          <w:szCs w:val="22"/>
        </w:rPr>
        <w:t xml:space="preserve">C.  The findings the Tribunal must make, and the evidence they require</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At [38] of its decision the Tribunal identified that it will need to consider whether each applicant is a suitable person to be involved in the provision of services to people with disability under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which will require findings relating to the allegations, including: (a) whether NDIS funding was made or received for services that had not been provided to the participant; (b) whether Mr Reid or Mrs Reid intimidated or harassed any participant; and (c) whether Mr Reid or Mrs Reid contravened their banning orders.</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The matters summarised at [35] to [37] of the decision are, as [38] records, allegations. They are not findings. The Second Applicant disputes them in so far as they are relied on against him.</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question at [38] is the suitability of each applicant. The allegations at [38](b) and (c) are expressly personal. The allegation at [38](a) concerns claims made by two companies. For it to bear on the Second Applicant's suitability, the Respondent must establish not only that particular claims were made for services not provided, but what the Second Applicant personally did or failed to do in relation to them. The Respondent's own Banning Order Policy (tender T6, p 141) states that a member of the key personnel of a provider "would be unlikely to receive a banning order, unless either directly involved in the conduct of concern or having failed to take appropriate steps for which they were responsible which significantly facilitated, contributed to or exacerbated the conduct". The Commission's investigation note recorded that it had "limited information about his actual involvement in the operations" (T9.4, p 177).</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allegations are serious: in substance, that public funds were claimed for services that were never delivered. The Tribunal is not bound by the rules of evidence, but findings of that kind call for cogent and probative evidence. The Respondent's current material consists largely of statements taken by the National Disability Insurance Agency for a prosecution that has been discontinued, and summaries of them. It does not, for any claim, set the invoice against the NDIA payment record, the plan manager's record, the roster or the worker's pay record, or record whether the claim was later cancelled, offset or repaid.</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sz w:val="22"/>
          <w:szCs w:val="22"/>
        </w:rPr>
        <w:t xml:space="preserve">The Second Applicant does not ask the Tribunal to limit what the Respondent may rely on. He asks that the Respondent be required to identify, before the applicants file their evidence, the specific claims and conduct it relies on against him and the evidence that proves each of them, so that the hearing is confined to a defined case and the applicants are not required to answer allegations at large.</w:t>
      </w:r>
    </w:p>
    <w:p>
      <w:pPr>
        <w:spacing w:after="120" w:before="240"/>
      </w:pPr>
      <w:r>
        <w:rPr>
          <w:rFonts w:ascii="Calibri" w:cs="Calibri" w:eastAsia="Calibri" w:hAnsi="Calibri"/>
          <w:b/>
          <w:bCs/>
          <w:sz w:val="22"/>
          <w:szCs w:val="22"/>
        </w:rPr>
        <w:t xml:space="preserve">D.  Outstanding documents</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sz w:val="22"/>
          <w:szCs w:val="22"/>
        </w:rPr>
        <w:t xml:space="preserve">The Respondent's letter of 7 May 2026 records that it has not provided Attachments A to G, P and Q to briefing note EC22-002103 (on the basis that they concern unrelated companies or are not relevant), or Attachment J to EC22-002103 and to EC22-002521 (relying on the orders of 26 July 2024). That description is difficult to reconcile with briefing note EC22-002103 itself, which records Attachment B as the notice of intention issued to Hybrid Hive Pty Ltd, Attachments D to G as notices to companies of which it records the Second Applicant as secretary, director or shareholder (at [5] and [9] to [11]), Attachment P as the NDIA's conditions on the use of its evidence (at [31]), and Attachment Q as a risk assessment concerning Hybrid Hive Pty Ltd (at [33.1]). Briefing note EC22-002521 records that the five-year period was proposed as "consistent with the proposed banning order for The Hive Pty Ltd" (at [12]).</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sz w:val="22"/>
          <w:szCs w:val="22"/>
        </w:rPr>
        <w:t xml:space="preserve">Briefing note EC22-002000 (tender T9, p 158) records that documents were submitted to the Legal Services Branch and that its input is at Attachment 55, and refers to a considerations document (Attachment 1D). Under its heading "Risks / Sensitivities" it states: "It is likely that the Commission's action against the Provider and individual may be viewed as quite strong given that the complaints and breaches focus on administrative and personal errors." Documents bearing on the Commission's own assessment of risk and proportionality are relevant to the review.</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sz w:val="22"/>
          <w:szCs w:val="22"/>
        </w:rPr>
        <w:t xml:space="preserve">Section 23 of the ART Act requires the decision-maker to give the Tribunal every document in its possession or control that is relevant to the review, and section 30 provides that the relevant Subdivision has effect despite any rule of law relating to legal professional privilege. The Second Applicant does not ask that any document be disclosed to him in breach of an existing order. He asks that the documents be before the Tribunal and described sufficiently for relevance or restriction to be decided by the Tribunal.</w:t>
      </w:r>
    </w:p>
    <w:p>
      <w:pPr>
        <w:spacing w:after="120" w:before="240"/>
      </w:pPr>
      <w:r>
        <w:rPr>
          <w:rFonts w:ascii="Calibri" w:cs="Calibri" w:eastAsia="Calibri" w:hAnsi="Calibri"/>
          <w:b/>
          <w:bCs/>
          <w:sz w:val="22"/>
          <w:szCs w:val="22"/>
        </w:rPr>
        <w:t xml:space="preserve">E.  Form of any order</w:t>
      </w:r>
    </w:p>
    <w:p>
      <w:pPr>
        <w:tabs>
          <w:tab w:val="left" w:pos="567"/>
        </w:tabs>
        <w:spacing w:after="120" w:line="276"/>
        <w:ind w:left="567" w:hanging="567"/>
        <w:jc w:val="both"/>
      </w:pPr>
      <w:r>
        <w:rPr>
          <w:rFonts w:ascii="Calibri" w:cs="Calibri" w:eastAsia="Calibri" w:hAnsi="Calibri"/>
          <w:sz w:val="22"/>
          <w:szCs w:val="22"/>
        </w:rPr>
        <w:t xml:space="preserve">15.	</w:t>
      </w:r>
      <w:r>
        <w:rPr>
          <w:rFonts w:ascii="Calibri" w:cs="Calibri" w:eastAsia="Calibri" w:hAnsi="Calibri"/>
          <w:sz w:val="22"/>
          <w:szCs w:val="22"/>
        </w:rPr>
        <w:t xml:space="preserve">In </w:t>
      </w:r>
      <w:r>
        <w:rPr>
          <w:rFonts w:ascii="Calibri" w:cs="Calibri" w:eastAsia="Calibri" w:hAnsi="Calibri"/>
          <w:i/>
          <w:iCs/>
          <w:sz w:val="22"/>
          <w:szCs w:val="22"/>
        </w:rPr>
        <w:t xml:space="preserve">Sunflower Care Services Pty Ltd v Commissioner of the NDIS Quality and Safeguards Commission (No 2)</w:t>
      </w:r>
      <w:r>
        <w:rPr>
          <w:rFonts w:ascii="Calibri" w:cs="Calibri" w:eastAsia="Calibri" w:hAnsi="Calibri"/>
          <w:sz w:val="22"/>
          <w:szCs w:val="22"/>
        </w:rPr>
        <w:t xml:space="preserve"> [2025] FCA 1442, the Federal Court held that section 73ZN(2) does not authorise an order prohibiting a person from being indirectly involved in specified activities (at [128], [134] and [139]), and that the specified activities must be expressed in terms reasonably capable of being obeyed (at [131]); a clearly specified activity may nonetheless be restricted even where it only indirectly involves the provision of supports (at [134]). The order under review prohibits "any involvement with or in the NDIS sector, in any capacity", including "directly or indirectly". The Second Applicant asks that the Respondent state in advance the order it will seek. That question is also relevant to the finding at [38](c): conduct can only contravene an order whose terms were capable of being understood and obeyed at the time.</w:t>
      </w:r>
    </w:p>
    <w:p>
      <w:pPr>
        <w:tabs>
          <w:tab w:val="left" w:pos="567"/>
        </w:tabs>
        <w:spacing w:after="120" w:line="276"/>
        <w:ind w:left="567" w:hanging="567"/>
        <w:jc w:val="both"/>
      </w:pPr>
      <w:r>
        <w:rPr>
          <w:rFonts w:ascii="Calibri" w:cs="Calibri" w:eastAsia="Calibri" w:hAnsi="Calibri"/>
          <w:sz w:val="22"/>
          <w:szCs w:val="22"/>
        </w:rPr>
        <w:t xml:space="preserve">16.	</w:t>
      </w:r>
      <w:r>
        <w:rPr>
          <w:rFonts w:ascii="Calibri" w:cs="Calibri" w:eastAsia="Calibri" w:hAnsi="Calibri"/>
          <w:sz w:val="22"/>
          <w:szCs w:val="22"/>
        </w:rPr>
        <w:t xml:space="preserve">The Tribunal applies the law in force at the time of its own decision (</w:t>
      </w:r>
      <w:r>
        <w:rPr>
          <w:rFonts w:ascii="Calibri" w:cs="Calibri" w:eastAsia="Calibri" w:hAnsi="Calibri"/>
          <w:i/>
          <w:iCs/>
          <w:sz w:val="22"/>
          <w:szCs w:val="22"/>
        </w:rPr>
        <w:t xml:space="preserve">Khalil v Minister for Immigration, Citizenship and Multicultural Affairs</w:t>
      </w:r>
      <w:r>
        <w:rPr>
          <w:rFonts w:ascii="Calibri" w:cs="Calibri" w:eastAsia="Calibri" w:hAnsi="Calibri"/>
          <w:sz w:val="22"/>
          <w:szCs w:val="22"/>
        </w:rPr>
        <w:t xml:space="preserve"> [2025] HCA 33). If the Respondent intends to rely on the provisions inserted into section 73ZN in 2026, it should say so before the applicants file their evidence.</w:t>
      </w:r>
    </w:p>
    <w:p>
      <w:pPr>
        <w:spacing w:after="120" w:before="240"/>
      </w:pPr>
      <w:r>
        <w:rPr>
          <w:rFonts w:ascii="Calibri" w:cs="Calibri" w:eastAsia="Calibri" w:hAnsi="Calibri"/>
          <w:b/>
          <w:bCs/>
          <w:sz w:val="22"/>
          <w:szCs w:val="22"/>
        </w:rPr>
        <w:t xml:space="preserve">F.  Directions sought</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b/>
          <w:bCs/>
          <w:sz w:val="22"/>
          <w:szCs w:val="22"/>
        </w:rPr>
        <w:t xml:space="preserve">Directions hearing. </w:t>
      </w:r>
      <w:r>
        <w:rPr>
          <w:rFonts w:ascii="Calibri" w:cs="Calibri" w:eastAsia="Calibri" w:hAnsi="Calibri"/>
          <w:sz w:val="22"/>
          <w:szCs w:val="22"/>
        </w:rPr>
        <w:t xml:space="preserve">The applications be listed for the telephone directions hearing foreshadowed at [41] of the decision of 30 July 2026 at the earliest available date.</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The Respondent's application of 7 May 2026 be determined at, or as soon as practicable after, the directions hearing on the materials filed,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b/>
          <w:bCs/>
          <w:sz w:val="22"/>
          <w:szCs w:val="22"/>
        </w:rPr>
        <w:t xml:space="preserve">Withheld documents. </w:t>
      </w:r>
      <w:r>
        <w:rPr>
          <w:rFonts w:ascii="Calibri" w:cs="Calibri" w:eastAsia="Calibri" w:hAnsi="Calibri"/>
          <w:sz w:val="22"/>
          <w:szCs w:val="22"/>
        </w:rPr>
        <w:t xml:space="preserve">Within 14 days, the Respondent (a) give the Tribunal each of Attachments A to G, J, P and Q to EC22-002103, Attachment J to EC22-002521, and Attachments 1D, 6 and 55 to EC22-002000, to the extent not already given; and (b) file and serve a list describing each (date, author, recipient, general nature) and the basis on which it is said to be irrelevant or not to be disclosed. Any applicant may respond within 7 days, and any dispute be determined on the papers or at a case event.</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and in any event by a fixed date, the Respondent lodge and serve its supplementary tender bundle.</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b/>
          <w:bCs/>
          <w:sz w:val="22"/>
          <w:szCs w:val="22"/>
        </w:rPr>
        <w:t xml:space="preserve">Delegations. </w:t>
      </w:r>
      <w:r>
        <w:rPr>
          <w:rFonts w:ascii="Calibri" w:cs="Calibri" w:eastAsia="Calibri" w:hAnsi="Calibri"/>
          <w:sz w:val="22"/>
          <w:szCs w:val="22"/>
        </w:rPr>
        <w:t xml:space="preserve">Within 14 days, the Respondent serve the instrument of delegation under which each decision of 21 December 2022 and 21 April 2023 concerning the Second Applicant was made (EC22-002521 at [8] refers to "Instrument No.2 of 2022").</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b/>
          <w:bCs/>
          <w:sz w:val="22"/>
          <w:szCs w:val="22"/>
        </w:rPr>
        <w:t xml:space="preserve">Respondent's statement of case and particulars. </w:t>
      </w:r>
      <w:r>
        <w:rPr>
          <w:rFonts w:ascii="Calibri" w:cs="Calibri" w:eastAsia="Calibri" w:hAnsi="Calibri"/>
          <w:sz w:val="22"/>
          <w:szCs w:val="22"/>
        </w:rPr>
        <w:t xml:space="preserve">Pursuant to section 79(2)(b) and (3) of the ART Act, within 28 days of service of the supplementary tender bundle, the Respondent file and serve a statement identifying, in respect of the Second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and, if it seeks a banning order, its complete wording, duration and commencement, and its position on </w:t>
      </w:r>
      <w:r>
        <w:rPr>
          <w:rFonts w:ascii="Calibri" w:cs="Calibri" w:eastAsia="Calibri" w:hAnsi="Calibri"/>
          <w:i/>
          <w:iCs/>
          <w:sz w:val="22"/>
          <w:szCs w:val="22"/>
        </w:rPr>
        <w:t xml:space="preserve">Sunflower</w:t>
      </w:r>
      <w:r>
        <w:rPr>
          <w:rFonts w:ascii="Calibri" w:cs="Calibri" w:eastAsia="Calibri" w:hAnsi="Calibri"/>
          <w:sz w:val="22"/>
          <w:szCs w:val="22"/>
        </w:rPr>
        <w:t xml:space="preserve">;</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for the finding at [38](a): each claim relied on (participant, service dates, amount, invoice and payment request number, the entity that made the claim), whether the claim was later cancelled, offset or repaid, the office (if any) held by the Second Applicant at that time, and the act or omission attributed to him personally, stating whether it alleges direct involvement or a failure to take steps for which he was responsible;</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for the finding at [38](b): each incident alleged against the Second Applicant personally (date, participant, conduct and source);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for the finding at [38](c): the date and conduct said to contravene a banning order, and the term of the order in force at that time;</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for each matter in (b) to (d), the document or statement (by tender reference) relied on to prove it, and any expert or forensic analysis of the claims on which it intends to rely;</w:t>
      </w:r>
    </w:p>
    <w:p>
      <w:pPr>
        <w:tabs>
          <w:tab w:val="left" w:pos="1134"/>
        </w:tabs>
        <w:spacing w:after="80" w:line="276"/>
        <w:ind w:left="1134" w:hanging="567"/>
        <w:jc w:val="both"/>
      </w:pPr>
      <w:r>
        <w:rPr>
          <w:rFonts w:ascii="Calibri" w:cs="Calibri" w:eastAsia="Calibri" w:hAnsi="Calibri"/>
          <w:sz w:val="22"/>
          <w:szCs w:val="22"/>
        </w:rPr>
        <w:t xml:space="preserve">(f)	</w:t>
      </w:r>
      <w:r>
        <w:rPr>
          <w:rFonts w:ascii="Calibri" w:cs="Calibri" w:eastAsia="Calibri" w:hAnsi="Calibri"/>
          <w:sz w:val="22"/>
          <w:szCs w:val="22"/>
        </w:rPr>
        <w:t xml:space="preserve">whether it relies on any current investigation or proceeding concerning the Second Applicant and, if so, its identity and status;</w:t>
      </w:r>
    </w:p>
    <w:p>
      <w:pPr>
        <w:tabs>
          <w:tab w:val="left" w:pos="1134"/>
        </w:tabs>
        <w:spacing w:after="80" w:line="276"/>
        <w:ind w:left="1134" w:hanging="567"/>
        <w:jc w:val="both"/>
      </w:pPr>
      <w:r>
        <w:rPr>
          <w:rFonts w:ascii="Calibri" w:cs="Calibri" w:eastAsia="Calibri" w:hAnsi="Calibri"/>
          <w:sz w:val="22"/>
          <w:szCs w:val="22"/>
        </w:rPr>
        <w:t xml:space="preserve">(g)	</w:t>
      </w:r>
      <w:r>
        <w:rPr>
          <w:rFonts w:ascii="Calibri" w:cs="Calibri" w:eastAsia="Calibri" w:hAnsi="Calibri"/>
          <w:sz w:val="22"/>
          <w:szCs w:val="22"/>
        </w:rPr>
        <w:t xml:space="preserve">each witness it intends to call, and each statement on which it intends to rely without calling its maker; and</w:t>
      </w:r>
    </w:p>
    <w:p>
      <w:pPr>
        <w:tabs>
          <w:tab w:val="left" w:pos="1134"/>
        </w:tabs>
        <w:spacing w:after="80" w:line="276"/>
        <w:ind w:left="1134" w:hanging="567"/>
        <w:jc w:val="both"/>
      </w:pPr>
      <w:r>
        <w:rPr>
          <w:rFonts w:ascii="Calibri" w:cs="Calibri" w:eastAsia="Calibri" w:hAnsi="Calibri"/>
          <w:sz w:val="22"/>
          <w:szCs w:val="22"/>
        </w:rPr>
        <w:t xml:space="preserve">(h)	</w:t>
      </w:r>
      <w:r>
        <w:rPr>
          <w:rFonts w:ascii="Calibri" w:cs="Calibri" w:eastAsia="Calibri" w:hAnsi="Calibri"/>
          <w:sz w:val="22"/>
          <w:szCs w:val="22"/>
        </w:rPr>
        <w:t xml:space="preserve">whether it relies on section 73ZN(2B) or (2C) of the NDIS Act as in force from 9 April 2026 and, if so, how it says those provisions apply to conduct before that date.</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b/>
          <w:bCs/>
          <w:sz w:val="22"/>
          <w:szCs w:val="22"/>
        </w:rPr>
        <w:t xml:space="preserve">Limit of the Respondent's case. </w:t>
      </w:r>
      <w:r>
        <w:rPr>
          <w:rFonts w:ascii="Calibri" w:cs="Calibri" w:eastAsia="Calibri" w:hAnsi="Calibri"/>
          <w:sz w:val="22"/>
          <w:szCs w:val="22"/>
        </w:rPr>
        <w:t xml:space="preserve">Save with the leave of the Tribunal, the Respondent be confined at the hearing to the matters particularised under direction 6.</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b/>
          <w:bCs/>
          <w:sz w:val="22"/>
          <w:szCs w:val="22"/>
        </w:rPr>
        <w:t xml:space="preserve">Applicants' SFIC and evidence. </w:t>
      </w:r>
      <w:r>
        <w:rPr>
          <w:rFonts w:ascii="Calibri" w:cs="Calibri" w:eastAsia="Calibri" w:hAnsi="Calibri"/>
          <w:sz w:val="22"/>
          <w:szCs w:val="22"/>
        </w:rPr>
        <w:t xml:space="preserve">Each applicant file and serve an updated SFIC and any further evidence within 35 days of service of the statement under direction 6.</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any further evidence within 28 days after direction 8.</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b/>
          <w:bCs/>
          <w:sz w:val="22"/>
          <w:szCs w:val="22"/>
        </w:rPr>
        <w:t xml:space="preserve">Reply. </w:t>
      </w:r>
      <w:r>
        <w:rPr>
          <w:rFonts w:ascii="Calibri" w:cs="Calibri" w:eastAsia="Calibri" w:hAnsi="Calibri"/>
          <w:sz w:val="22"/>
          <w:szCs w:val="22"/>
        </w:rPr>
        <w:t xml:space="preserve">Any applicant file and serve any reply within 14 days after direction 9.</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b/>
          <w:bCs/>
          <w:sz w:val="22"/>
          <w:szCs w:val="22"/>
        </w:rPr>
        <w:t xml:space="preserve">Cross-examination. </w:t>
      </w:r>
      <w:r>
        <w:rPr>
          <w:rFonts w:ascii="Calibri" w:cs="Calibri" w:eastAsia="Calibri" w:hAnsi="Calibri"/>
          <w:sz w:val="22"/>
          <w:szCs w:val="22"/>
        </w:rPr>
        <w:t xml:space="preserve">Within 14 days after direction 9, any applicant may serve a notice identifying each statement-maker whose attendance is sought for cross-examination and the propositions in dispute. Any dispute be determined at a case event. The procedure in Part 6 of the Tribunal's Common Procedures Practice Direction 2026 applies to any statement-maker who is required for cross-examination but not made available.</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b/>
          <w:bCs/>
          <w:sz w:val="22"/>
          <w:szCs w:val="22"/>
        </w:rPr>
        <w:t xml:space="preserve">Listing. </w:t>
      </w:r>
      <w:r>
        <w:rPr>
          <w:rFonts w:ascii="Calibri" w:cs="Calibri" w:eastAsia="Calibri" w:hAnsi="Calibri"/>
          <w:sz w:val="22"/>
          <w:szCs w:val="22"/>
        </w:rPr>
        <w:t xml:space="preserve">The matters be listed for final hearing on the first available date after direction 10, and in any event with a view to a decision before December 2027. The hearing estimate be fixed at a short case event after direction 11, taking account of witnesses and interpreter arrangements for the First Applicant.</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The directions of 15 May 2024 be vacated and replaced by these directions.</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Second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2026-09-26T14:02:54.468Z</dcterms:created>
  <dcterms:modified xsi:type="dcterms:W3CDTF">2026-09-26T14:02:54.468Z</dcterms:modified>
</cp:coreProperties>
</file>

<file path=docProps/custom.xml><?xml version="1.0" encoding="utf-8"?>
<Properties xmlns="http://schemas.openxmlformats.org/officeDocument/2006/custom-properties" xmlns:vt="http://schemas.openxmlformats.org/officeDocument/2006/docPropsVTypes"/>
</file>