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sz w:val="24"/>
          <w:szCs w:val="24"/>
        </w:rPr>
        <w:t xml:space="preserve">ADMINISTRATIVE REVIEW TRIBUNAL</w:t>
      </w:r>
    </w:p>
    <w:p>
      <w:pPr>
        <w:spacing w:after="240"/>
        <w:jc w:val="center"/>
      </w:pPr>
      <w:r>
        <w:rPr>
          <w:rFonts w:ascii="Calibri" w:cs="Calibri" w:eastAsia="Calibri" w:hAnsi="Calibri"/>
          <w:sz w:val="22"/>
          <w:szCs w:val="22"/>
        </w:rPr>
        <w:t xml:space="preserve">BRISBANE REGISTRY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Tribunal Numbers:</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2023/3361, 2023/3363 and 2023/4494</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First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VIDA REID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Second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SIMON REID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Third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FORWARD FOCUSED GROUP PTY LTD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Respondent: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COMMISSIONER OF THE NDIS QUALITY AND SAFEGUARDS COMMISSION</w:t>
            </w:r>
          </w:p>
        </w:tc>
      </w:tr>
    </w:tbl>
    <w:p>
      <w:pPr>
        <w:spacing w:before="240"/>
        <w:jc w:val="center"/>
      </w:pPr>
      <w:r>
        <w:rPr>
          <w:rFonts w:ascii="Calibri" w:cs="Calibri" w:eastAsia="Calibri" w:hAnsi="Calibri"/>
          <w:b/>
          <w:bCs/>
          <w:sz w:val="24"/>
          <w:szCs w:val="24"/>
        </w:rPr>
        <w:t xml:space="preserve">THIRD APPLICANT'S RESPONSE AND PROPOSED DIRECTIONS</w:t>
      </w:r>
    </w:p>
    <w:p>
      <w:pPr>
        <w:spacing w:after="240"/>
        <w:jc w:val="center"/>
      </w:pPr>
      <w:r>
        <w:rPr>
          <w:rFonts w:ascii="Calibri" w:cs="Calibri" w:eastAsia="Calibri" w:hAnsi="Calibri"/>
          <w:sz w:val="22"/>
          <w:szCs w:val="22"/>
        </w:rPr>
        <w:t xml:space="preserve">in response to the Tribunal's decision of 30 July 2026 and the Respondent's proposed minute of order served on 14 August 2026</w:t>
      </w:r>
    </w:p>
    <w:p>
      <w:pPr>
        <w:spacing w:after="120" w:before="240"/>
      </w:pPr>
      <w:r>
        <w:rPr>
          <w:rFonts w:ascii="Calibri" w:cs="Calibri" w:eastAsia="Calibri" w:hAnsi="Calibri"/>
          <w:b/>
          <w:bCs/>
          <w:sz w:val="22"/>
          <w:szCs w:val="22"/>
        </w:rPr>
        <w:t xml:space="preserve">A.  Position</w:t>
      </w:r>
    </w:p>
    <w:p>
      <w:pPr>
        <w:tabs>
          <w:tab w:val="left" w:pos="567"/>
        </w:tabs>
        <w:spacing w:after="120" w:line="276"/>
        <w:ind w:left="567" w:hanging="567"/>
        <w:jc w:val="both"/>
      </w:pPr>
      <w:r>
        <w:rPr>
          <w:rFonts w:ascii="Calibri" w:cs="Calibri" w:eastAsia="Calibri" w:hAnsi="Calibri"/>
          <w:sz w:val="22"/>
          <w:szCs w:val="22"/>
        </w:rPr>
        <w:t xml:space="preserve">1.	</w:t>
      </w:r>
      <w:r>
        <w:rPr>
          <w:rFonts w:ascii="Calibri" w:cs="Calibri" w:eastAsia="Calibri" w:hAnsi="Calibri"/>
          <w:sz w:val="22"/>
          <w:szCs w:val="22"/>
        </w:rPr>
        <w:t xml:space="preserve">This response is filed by the Third Applicant, Forward Focused Group Pty Ltd, in matter 2023/4494. It does not state the position of, and does not bind, the other applicants.</w:t>
      </w:r>
    </w:p>
    <w:p>
      <w:pPr>
        <w:tabs>
          <w:tab w:val="left" w:pos="567"/>
        </w:tabs>
        <w:spacing w:after="120" w:line="276"/>
        <w:ind w:left="567" w:hanging="567"/>
        <w:jc w:val="both"/>
      </w:pPr>
      <w:r>
        <w:rPr>
          <w:rFonts w:ascii="Calibri" w:cs="Calibri" w:eastAsia="Calibri" w:hAnsi="Calibri"/>
          <w:sz w:val="22"/>
          <w:szCs w:val="22"/>
        </w:rPr>
        <w:t xml:space="preserve">2.	</w:t>
      </w:r>
      <w:r>
        <w:rPr>
          <w:rFonts w:ascii="Calibri" w:cs="Calibri" w:eastAsia="Calibri" w:hAnsi="Calibri"/>
          <w:sz w:val="22"/>
          <w:szCs w:val="22"/>
        </w:rPr>
        <w:t xml:space="preserve">The Third Applicant accepts the Tribunal's decision dated 30 July 2026 (sent to the parties on 31 July 2026) that the three applications be heard together, and supports the matters proceeding to a final hearing without further delay. The Third Applicant agrees with the broad steps the Respondent proposes in its minute of 14 August 2026 (a supplementary tender bundle, statements of facts, issues and contentions (</w:t>
      </w:r>
      <w:r>
        <w:rPr>
          <w:rFonts w:ascii="Calibri" w:cs="Calibri" w:eastAsia="Calibri" w:hAnsi="Calibri"/>
          <w:i/>
          <w:iCs/>
          <w:sz w:val="22"/>
          <w:szCs w:val="22"/>
        </w:rPr>
        <w:t xml:space="preserve">SFIC</w:t>
      </w:r>
      <w:r>
        <w:rPr>
          <w:rFonts w:ascii="Calibri" w:cs="Calibri" w:eastAsia="Calibri" w:hAnsi="Calibri"/>
          <w:sz w:val="22"/>
          <w:szCs w:val="22"/>
        </w:rPr>
        <w:t xml:space="preserve">) with evidence, and a final hearing), but not with their sequence or content, for the reasons below.</w:t>
      </w:r>
    </w:p>
    <w:p>
      <w:pPr>
        <w:tabs>
          <w:tab w:val="left" w:pos="567"/>
        </w:tabs>
        <w:spacing w:after="120" w:line="276"/>
        <w:ind w:left="567" w:hanging="567"/>
        <w:jc w:val="both"/>
      </w:pPr>
      <w:r>
        <w:rPr>
          <w:rFonts w:ascii="Calibri" w:cs="Calibri" w:eastAsia="Calibri" w:hAnsi="Calibri"/>
          <w:sz w:val="22"/>
          <w:szCs w:val="22"/>
        </w:rPr>
        <w:t xml:space="preserve">3.	</w:t>
      </w:r>
      <w:r>
        <w:rPr>
          <w:rFonts w:ascii="Calibri" w:cs="Calibri" w:eastAsia="Calibri" w:hAnsi="Calibri"/>
          <w:sz w:val="22"/>
          <w:szCs w:val="22"/>
        </w:rPr>
        <w:t xml:space="preserve">Nothing in this response, or omitted from it, is an admission of any fact or contention advanced by the Respondent, and nothing in it waives any privilege.</w:t>
      </w:r>
    </w:p>
    <w:p>
      <w:pPr>
        <w:spacing w:after="120" w:before="240"/>
      </w:pPr>
      <w:r>
        <w:rPr>
          <w:rFonts w:ascii="Calibri" w:cs="Calibri" w:eastAsia="Calibri" w:hAnsi="Calibri"/>
          <w:b/>
          <w:bCs/>
          <w:sz w:val="22"/>
          <w:szCs w:val="22"/>
        </w:rPr>
        <w:t xml:space="preserve">B.  Delay</w:t>
      </w:r>
    </w:p>
    <w:p>
      <w:pPr>
        <w:tabs>
          <w:tab w:val="left" w:pos="567"/>
        </w:tabs>
        <w:spacing w:after="120" w:line="276"/>
        <w:ind w:left="567" w:hanging="567"/>
        <w:jc w:val="both"/>
      </w:pPr>
      <w:r>
        <w:rPr>
          <w:rFonts w:ascii="Calibri" w:cs="Calibri" w:eastAsia="Calibri" w:hAnsi="Calibri"/>
          <w:sz w:val="22"/>
          <w:szCs w:val="22"/>
        </w:rPr>
        <w:t xml:space="preserve">4.	</w:t>
      </w:r>
      <w:r>
        <w:rPr>
          <w:rFonts w:ascii="Calibri" w:cs="Calibri" w:eastAsia="Calibri" w:hAnsi="Calibri"/>
          <w:sz w:val="22"/>
          <w:szCs w:val="22"/>
        </w:rPr>
        <w:t xml:space="preserve">On 20 December 2022 the Respondent made a ten-year banning order against the Third Applicant. On internal review on 8 June 2023 the delegate reduced it to three years because that "corresponds with the amount of time it is reasonably expected to take for criminal proceedings relating to FFG to be finally determined", and stated that "[u]pon determination of those proceedings, the banning order against FFG can be revisited and consideration given to whether it should be varied any further (or revoked entirely)". The criminal charges were dismissed on 23 February 2024 when the prosecution offered no evidence. The order was never revisited. It expired on 21 December 2025, without the Third Applicant's review having been heard.</w:t>
      </w:r>
    </w:p>
    <w:p>
      <w:pPr>
        <w:tabs>
          <w:tab w:val="left" w:pos="567"/>
        </w:tabs>
        <w:spacing w:after="120" w:line="276"/>
        <w:ind w:left="567" w:hanging="567"/>
        <w:jc w:val="both"/>
      </w:pPr>
      <w:r>
        <w:rPr>
          <w:rFonts w:ascii="Calibri" w:cs="Calibri" w:eastAsia="Calibri" w:hAnsi="Calibri"/>
          <w:sz w:val="22"/>
          <w:szCs w:val="22"/>
        </w:rPr>
        <w:t xml:space="preserve">5.	</w:t>
      </w:r>
      <w:r>
        <w:rPr>
          <w:rFonts w:ascii="Calibri" w:cs="Calibri" w:eastAsia="Calibri" w:hAnsi="Calibri"/>
          <w:sz w:val="22"/>
          <w:szCs w:val="22"/>
        </w:rPr>
        <w:t xml:space="preserve">Since then:</w:t>
      </w:r>
    </w:p>
    <w:p>
      <w:pPr>
        <w:tabs>
          <w:tab w:val="left" w:pos="1134"/>
        </w:tabs>
        <w:spacing w:after="80" w:line="276"/>
        <w:ind w:left="1134" w:hanging="567"/>
        <w:jc w:val="both"/>
      </w:pPr>
      <w:r>
        <w:rPr>
          <w:rFonts w:ascii="Calibri" w:cs="Calibri" w:eastAsia="Calibri" w:hAnsi="Calibri"/>
          <w:sz w:val="22"/>
          <w:szCs w:val="22"/>
        </w:rPr>
        <w:t xml:space="preserve">(a)	</w:t>
      </w:r>
      <w:r>
        <w:rPr>
          <w:rFonts w:ascii="Calibri" w:cs="Calibri" w:eastAsia="Calibri" w:hAnsi="Calibri"/>
          <w:sz w:val="22"/>
          <w:szCs w:val="22"/>
        </w:rPr>
        <w:t xml:space="preserve">the Respondent's application of 7 May 2026 under section 70 of the </w:t>
      </w:r>
      <w:r>
        <w:rPr>
          <w:rFonts w:ascii="Calibri" w:cs="Calibri" w:eastAsia="Calibri" w:hAnsi="Calibri"/>
          <w:i/>
          <w:iCs/>
          <w:sz w:val="22"/>
          <w:szCs w:val="22"/>
        </w:rPr>
        <w:t xml:space="preserve">Administrative Review Tribunal Act 2024</w:t>
      </w:r>
      <w:r>
        <w:rPr>
          <w:rFonts w:ascii="Calibri" w:cs="Calibri" w:eastAsia="Calibri" w:hAnsi="Calibri"/>
          <w:sz w:val="22"/>
          <w:szCs w:val="22"/>
        </w:rPr>
        <w:t xml:space="preserve"> (</w:t>
      </w:r>
      <w:r>
        <w:rPr>
          <w:rFonts w:ascii="Calibri" w:cs="Calibri" w:eastAsia="Calibri" w:hAnsi="Calibri"/>
          <w:i/>
          <w:iCs/>
          <w:sz w:val="22"/>
          <w:szCs w:val="22"/>
        </w:rPr>
        <w:t xml:space="preserve">ART Act</w:t>
      </w:r>
      <w:r>
        <w:rPr>
          <w:rFonts w:ascii="Calibri" w:cs="Calibri" w:eastAsia="Calibri" w:hAnsi="Calibri"/>
          <w:sz w:val="22"/>
          <w:szCs w:val="22"/>
        </w:rPr>
        <w:t xml:space="preserve">) remains undetermined, although submissions in response were filed on 19 May 2026;</w:t>
      </w:r>
    </w:p>
    <w:p>
      <w:pPr>
        <w:tabs>
          <w:tab w:val="left" w:pos="1134"/>
        </w:tabs>
        <w:spacing w:after="80" w:line="276"/>
        <w:ind w:left="1134" w:hanging="567"/>
        <w:jc w:val="both"/>
      </w:pPr>
      <w:r>
        <w:rPr>
          <w:rFonts w:ascii="Calibri" w:cs="Calibri" w:eastAsia="Calibri" w:hAnsi="Calibri"/>
          <w:sz w:val="22"/>
          <w:szCs w:val="22"/>
        </w:rPr>
        <w:t xml:space="preserve">(b)	</w:t>
      </w:r>
      <w:r>
        <w:rPr>
          <w:rFonts w:ascii="Calibri" w:cs="Calibri" w:eastAsia="Calibri" w:hAnsi="Calibri"/>
          <w:sz w:val="22"/>
          <w:szCs w:val="22"/>
        </w:rPr>
        <w:t xml:space="preserve">at [41] of its decision the Tribunal directed the Respondent to file a proposed timetable within 14 days and indicated that the applications would then be relisted for a telephone directions hearing. The Respondent served its minute on 14 August 2026. No directions hearing has yet been listed;</w:t>
      </w:r>
    </w:p>
    <w:p>
      <w:pPr>
        <w:tabs>
          <w:tab w:val="left" w:pos="1134"/>
        </w:tabs>
        <w:spacing w:after="80" w:line="276"/>
        <w:ind w:left="1134" w:hanging="567"/>
        <w:jc w:val="both"/>
      </w:pPr>
      <w:r>
        <w:rPr>
          <w:rFonts w:ascii="Calibri" w:cs="Calibri" w:eastAsia="Calibri" w:hAnsi="Calibri"/>
          <w:sz w:val="22"/>
          <w:szCs w:val="22"/>
        </w:rPr>
        <w:t xml:space="preserve">(c)	</w:t>
      </w:r>
      <w:r>
        <w:rPr>
          <w:rFonts w:ascii="Calibri" w:cs="Calibri" w:eastAsia="Calibri" w:hAnsi="Calibri"/>
          <w:sz w:val="22"/>
          <w:szCs w:val="22"/>
        </w:rPr>
        <w:t xml:space="preserve">the Respondent's own minute proposed that it file the supplementary tender bundle by 28 August 2026. As at the date of this response the Third Applicant has not received it; and</w:t>
      </w:r>
    </w:p>
    <w:p>
      <w:pPr>
        <w:tabs>
          <w:tab w:val="left" w:pos="1134"/>
        </w:tabs>
        <w:spacing w:after="80" w:line="276"/>
        <w:ind w:left="1134" w:hanging="567"/>
        <w:jc w:val="both"/>
      </w:pPr>
      <w:r>
        <w:rPr>
          <w:rFonts w:ascii="Calibri" w:cs="Calibri" w:eastAsia="Calibri" w:hAnsi="Calibri"/>
          <w:sz w:val="22"/>
          <w:szCs w:val="22"/>
        </w:rPr>
        <w:t xml:space="preserve">(d)	</w:t>
      </w:r>
      <w:r>
        <w:rPr>
          <w:rFonts w:ascii="Calibri" w:cs="Calibri" w:eastAsia="Calibri" w:hAnsi="Calibri"/>
          <w:sz w:val="22"/>
          <w:szCs w:val="22"/>
        </w:rPr>
        <w:t xml:space="preserve">the minute proposed that the applicants file their SFICs and evidence by 25 September 2026 — before the tender bundle, before the section 70 application is determined, and before the Respondent has identified the case it puts against each applicant. No order was made in those terms.</w:t>
      </w:r>
    </w:p>
    <w:p>
      <w:pPr>
        <w:tabs>
          <w:tab w:val="left" w:pos="567"/>
        </w:tabs>
        <w:spacing w:after="120" w:line="276"/>
        <w:ind w:left="567" w:hanging="567"/>
        <w:jc w:val="both"/>
      </w:pPr>
      <w:r>
        <w:rPr>
          <w:rFonts w:ascii="Calibri" w:cs="Calibri" w:eastAsia="Calibri" w:hAnsi="Calibri"/>
          <w:sz w:val="22"/>
          <w:szCs w:val="22"/>
        </w:rPr>
        <w:t xml:space="preserve">6.	</w:t>
      </w:r>
      <w:r>
        <w:rPr>
          <w:rFonts w:ascii="Calibri" w:cs="Calibri" w:eastAsia="Calibri" w:hAnsi="Calibri"/>
          <w:sz w:val="22"/>
          <w:szCs w:val="22"/>
        </w:rPr>
        <w:t xml:space="preserve">The Third Applicant's review remains of utility: the findings underlying the order remain on the public record and bear on the individual orders against its directors, which run to December 2027. Further delay compounds that prejudice. The Third Applicant asks that the timetable be fixed at the earliest practicable directions hearing and that each step be tied to a firm date.</w:t>
      </w:r>
    </w:p>
    <w:p>
      <w:pPr>
        <w:spacing w:after="120" w:before="240"/>
      </w:pPr>
      <w:r>
        <w:rPr>
          <w:rFonts w:ascii="Calibri" w:cs="Calibri" w:eastAsia="Calibri" w:hAnsi="Calibri"/>
          <w:b/>
          <w:bCs/>
          <w:sz w:val="22"/>
          <w:szCs w:val="22"/>
        </w:rPr>
        <w:t xml:space="preserve">C.  The findings the Tribunal must make, and the evidence they require</w:t>
      </w:r>
    </w:p>
    <w:p>
      <w:pPr>
        <w:tabs>
          <w:tab w:val="left" w:pos="567"/>
        </w:tabs>
        <w:spacing w:after="120" w:line="276"/>
        <w:ind w:left="567" w:hanging="567"/>
        <w:jc w:val="both"/>
      </w:pPr>
      <w:r>
        <w:rPr>
          <w:rFonts w:ascii="Calibri" w:cs="Calibri" w:eastAsia="Calibri" w:hAnsi="Calibri"/>
          <w:sz w:val="22"/>
          <w:szCs w:val="22"/>
        </w:rPr>
        <w:t xml:space="preserve">7.	</w:t>
      </w:r>
      <w:r>
        <w:rPr>
          <w:rFonts w:ascii="Calibri" w:cs="Calibri" w:eastAsia="Calibri" w:hAnsi="Calibri"/>
          <w:sz w:val="22"/>
          <w:szCs w:val="22"/>
        </w:rPr>
        <w:t xml:space="preserve">At [38] of its decision the Tribunal identified that it will need to consider whether each applicant is a suitable person to be involved in the provision of services to people with disability under section 73ZN(2) of the </w:t>
      </w:r>
      <w:r>
        <w:rPr>
          <w:rFonts w:ascii="Calibri" w:cs="Calibri" w:eastAsia="Calibri" w:hAnsi="Calibri"/>
          <w:i/>
          <w:iCs/>
          <w:sz w:val="22"/>
          <w:szCs w:val="22"/>
        </w:rPr>
        <w:t xml:space="preserve">National Disability Insurance Scheme Act 2013</w:t>
      </w:r>
      <w:r>
        <w:rPr>
          <w:rFonts w:ascii="Calibri" w:cs="Calibri" w:eastAsia="Calibri" w:hAnsi="Calibri"/>
          <w:sz w:val="22"/>
          <w:szCs w:val="22"/>
        </w:rPr>
        <w:t xml:space="preserve">, which will require findings relating to the allegations, including: (a) whether NDIS funding was made or received for services that had not been provided to the participant; (b) whether Mr Reid or Mrs Reid intimidated or harassed any participant; and (c) whether Mr Reid or Mrs Reid contravened their banning orders.</w:t>
      </w:r>
    </w:p>
    <w:p>
      <w:pPr>
        <w:tabs>
          <w:tab w:val="left" w:pos="567"/>
        </w:tabs>
        <w:spacing w:after="120" w:line="276"/>
        <w:ind w:left="567" w:hanging="567"/>
        <w:jc w:val="both"/>
      </w:pPr>
      <w:r>
        <w:rPr>
          <w:rFonts w:ascii="Calibri" w:cs="Calibri" w:eastAsia="Calibri" w:hAnsi="Calibri"/>
          <w:sz w:val="22"/>
          <w:szCs w:val="22"/>
        </w:rPr>
        <w:t xml:space="preserve">8.	</w:t>
      </w:r>
      <w:r>
        <w:rPr>
          <w:rFonts w:ascii="Calibri" w:cs="Calibri" w:eastAsia="Calibri" w:hAnsi="Calibri"/>
          <w:sz w:val="22"/>
          <w:szCs w:val="22"/>
        </w:rPr>
        <w:t xml:space="preserve">The matters summarised at [35] to [37] of the decision are, as [38] records, allegations. They are not findings. The Third Applicant disputes them.</w:t>
      </w:r>
    </w:p>
    <w:p>
      <w:pPr>
        <w:tabs>
          <w:tab w:val="left" w:pos="567"/>
        </w:tabs>
        <w:spacing w:after="120" w:line="276"/>
        <w:ind w:left="567" w:hanging="567"/>
        <w:jc w:val="both"/>
      </w:pPr>
      <w:r>
        <w:rPr>
          <w:rFonts w:ascii="Calibri" w:cs="Calibri" w:eastAsia="Calibri" w:hAnsi="Calibri"/>
          <w:sz w:val="22"/>
          <w:szCs w:val="22"/>
        </w:rPr>
        <w:t xml:space="preserve">9.	</w:t>
      </w:r>
      <w:r>
        <w:rPr>
          <w:rFonts w:ascii="Calibri" w:cs="Calibri" w:eastAsia="Calibri" w:hAnsi="Calibri"/>
          <w:sz w:val="22"/>
          <w:szCs w:val="22"/>
        </w:rPr>
        <w:t xml:space="preserve">The question at [38] is the suitability of each applicant. The allegations at [38](b) and (c) are expressly personal. The allegation at [38](a) concerns claims made by two different companies, the Third Applicant and Hybrid Hive Pty Ltd. The Respondent must identify which claims it attributes to the Third Applicant, as distinct from Hybrid Hive Pty Ltd. The internal review of 8 June 2023 itself found that the original decision "was grounded in a broader range of considerations than was necessary" and acknowledged "deficiencies and failings by the original decision-maker" (at [36]). The Commission's briefing note recorded that its action "may be viewed as quite strong given that the complaints and breaches focus on administrative and personal errors" (EC22-002000 at [4], T9, p 158).</w:t>
      </w:r>
    </w:p>
    <w:p>
      <w:pPr>
        <w:tabs>
          <w:tab w:val="left" w:pos="567"/>
        </w:tabs>
        <w:spacing w:after="120" w:line="276"/>
        <w:ind w:left="567" w:hanging="567"/>
        <w:jc w:val="both"/>
      </w:pPr>
      <w:r>
        <w:rPr>
          <w:rFonts w:ascii="Calibri" w:cs="Calibri" w:eastAsia="Calibri" w:hAnsi="Calibri"/>
          <w:sz w:val="22"/>
          <w:szCs w:val="22"/>
        </w:rPr>
        <w:t xml:space="preserve">10.	</w:t>
      </w:r>
      <w:r>
        <w:rPr>
          <w:rFonts w:ascii="Calibri" w:cs="Calibri" w:eastAsia="Calibri" w:hAnsi="Calibri"/>
          <w:sz w:val="22"/>
          <w:szCs w:val="22"/>
        </w:rPr>
        <w:t xml:space="preserve">The allegations are serious: in substance, that public funds were claimed for services that were never delivered. The Tribunal is not bound by the rules of evidence, but findings of that kind call for cogent and probative evidence. The Respondent's current material consists largely of statements taken by the National Disability Insurance Agency for a prosecution that has been discontinued, and summaries of them. It does not, for any claim, set the invoice against the NDIA payment record, the plan manager's record, the roster or the worker's pay record, or record whether the claim was later cancelled, offset or repaid.</w:t>
      </w:r>
    </w:p>
    <w:p>
      <w:pPr>
        <w:tabs>
          <w:tab w:val="left" w:pos="567"/>
        </w:tabs>
        <w:spacing w:after="120" w:line="276"/>
        <w:ind w:left="567" w:hanging="567"/>
        <w:jc w:val="both"/>
      </w:pPr>
      <w:r>
        <w:rPr>
          <w:rFonts w:ascii="Calibri" w:cs="Calibri" w:eastAsia="Calibri" w:hAnsi="Calibri"/>
          <w:sz w:val="22"/>
          <w:szCs w:val="22"/>
        </w:rPr>
        <w:t xml:space="preserve">11.	</w:t>
      </w:r>
      <w:r>
        <w:rPr>
          <w:rFonts w:ascii="Calibri" w:cs="Calibri" w:eastAsia="Calibri" w:hAnsi="Calibri"/>
          <w:sz w:val="22"/>
          <w:szCs w:val="22"/>
        </w:rPr>
        <w:t xml:space="preserve">The Third Applicant does not ask the Tribunal to limit what the Respondent may rely on. He asks that the Respondent be required to identify, before the applicants file their evidence, the specific claims and conduct it relies on against it and the evidence that proves each of them, so that the hearing is confined to a defined case and the applicants are not required to answer allegations at large.</w:t>
      </w:r>
    </w:p>
    <w:p>
      <w:pPr>
        <w:spacing w:after="120" w:before="240"/>
      </w:pPr>
      <w:r>
        <w:rPr>
          <w:rFonts w:ascii="Calibri" w:cs="Calibri" w:eastAsia="Calibri" w:hAnsi="Calibri"/>
          <w:b/>
          <w:bCs/>
          <w:sz w:val="22"/>
          <w:szCs w:val="22"/>
        </w:rPr>
        <w:t xml:space="preserve">D.  Outstanding documents</w:t>
      </w:r>
    </w:p>
    <w:p>
      <w:pPr>
        <w:tabs>
          <w:tab w:val="left" w:pos="567"/>
        </w:tabs>
        <w:spacing w:after="120" w:line="276"/>
        <w:ind w:left="567" w:hanging="567"/>
        <w:jc w:val="both"/>
      </w:pPr>
      <w:r>
        <w:rPr>
          <w:rFonts w:ascii="Calibri" w:cs="Calibri" w:eastAsia="Calibri" w:hAnsi="Calibri"/>
          <w:sz w:val="22"/>
          <w:szCs w:val="22"/>
        </w:rPr>
        <w:t xml:space="preserve">12.	</w:t>
      </w:r>
      <w:r>
        <w:rPr>
          <w:rFonts w:ascii="Calibri" w:cs="Calibri" w:eastAsia="Calibri" w:hAnsi="Calibri"/>
          <w:sz w:val="22"/>
          <w:szCs w:val="22"/>
        </w:rPr>
        <w:t xml:space="preserve">Briefing note EC22-002000 (tender T9, p 158) records that documents were submitted to the Legal Services Branch and that its input is at Attachment 55, and refers to a considerations document (Attachment 1D) and a key-issues document (Attachment 6). The FFG internal review refers to internal working documents said to show how the original submissions were considered. These documents bear on the Commission's own assessment of risk and proportionality and are relevant to the review.</w:t>
      </w:r>
    </w:p>
    <w:p>
      <w:pPr>
        <w:tabs>
          <w:tab w:val="left" w:pos="567"/>
        </w:tabs>
        <w:spacing w:after="120" w:line="276"/>
        <w:ind w:left="567" w:hanging="567"/>
        <w:jc w:val="both"/>
      </w:pPr>
      <w:r>
        <w:rPr>
          <w:rFonts w:ascii="Calibri" w:cs="Calibri" w:eastAsia="Calibri" w:hAnsi="Calibri"/>
          <w:sz w:val="22"/>
          <w:szCs w:val="22"/>
        </w:rPr>
        <w:t xml:space="preserve">13.	</w:t>
      </w:r>
      <w:r>
        <w:rPr>
          <w:rFonts w:ascii="Calibri" w:cs="Calibri" w:eastAsia="Calibri" w:hAnsi="Calibri"/>
          <w:sz w:val="22"/>
          <w:szCs w:val="22"/>
        </w:rPr>
        <w:t xml:space="preserve">Section 23 of the ART Act requires the decision-maker to give the Tribunal every document in its possession or control that is relevant to the review, and section 30 provides that the relevant Subdivision has effect despite any rule of law relating to legal professional privilege. The Third Applicant asks that the documents be before the Tribunal and described sufficiently for relevance or restriction to be decided by the Tribunal.</w:t>
      </w:r>
    </w:p>
    <w:p>
      <w:pPr>
        <w:spacing w:after="120" w:before="240"/>
      </w:pPr>
      <w:r>
        <w:rPr>
          <w:rFonts w:ascii="Calibri" w:cs="Calibri" w:eastAsia="Calibri" w:hAnsi="Calibri"/>
          <w:b/>
          <w:bCs/>
          <w:sz w:val="22"/>
          <w:szCs w:val="22"/>
        </w:rPr>
        <w:t xml:space="preserve">E.  Form of any order</w:t>
      </w:r>
    </w:p>
    <w:p>
      <w:pPr>
        <w:tabs>
          <w:tab w:val="left" w:pos="567"/>
        </w:tabs>
        <w:spacing w:after="120" w:line="276"/>
        <w:ind w:left="567" w:hanging="567"/>
        <w:jc w:val="both"/>
      </w:pPr>
      <w:r>
        <w:rPr>
          <w:rFonts w:ascii="Calibri" w:cs="Calibri" w:eastAsia="Calibri" w:hAnsi="Calibri"/>
          <w:sz w:val="22"/>
          <w:szCs w:val="22"/>
        </w:rPr>
        <w:t xml:space="preserve">15.	</w:t>
      </w:r>
      <w:r>
        <w:rPr>
          <w:rFonts w:ascii="Calibri" w:cs="Calibri" w:eastAsia="Calibri" w:hAnsi="Calibri"/>
          <w:sz w:val="22"/>
          <w:szCs w:val="22"/>
        </w:rPr>
        <w:t xml:space="preserve">In </w:t>
      </w:r>
      <w:r>
        <w:rPr>
          <w:rFonts w:ascii="Calibri" w:cs="Calibri" w:eastAsia="Calibri" w:hAnsi="Calibri"/>
          <w:i/>
          <w:iCs/>
          <w:sz w:val="22"/>
          <w:szCs w:val="22"/>
        </w:rPr>
        <w:t xml:space="preserve">Sunflower Care Services Pty Ltd v Commissioner of the NDIS Quality and Safeguards Commission (No 2)</w:t>
      </w:r>
      <w:r>
        <w:rPr>
          <w:rFonts w:ascii="Calibri" w:cs="Calibri" w:eastAsia="Calibri" w:hAnsi="Calibri"/>
          <w:sz w:val="22"/>
          <w:szCs w:val="22"/>
        </w:rPr>
        <w:t xml:space="preserve"> [2025] FCA 1442, the Federal Court held that section 73ZN(2) does not authorise an order prohibiting a person from being indirectly involved in specified activities (at [128], [134] and [139]), and that the specified activities must be expressed in terms reasonably capable of being obeyed (at [131]); a clearly specified activity may nonetheless be restricted even where it only indirectly involves the provision of supports (at [134]). The Third Applicant asks that the Respondent state in advance the order it will seek in respect of it, and, since the order expired on 21 December 2025, what utility it says remains in the review and what decision it asks the Tribunal to make. That question is also relevant to the finding at [38](c): conduct can only contravene an order whose terms were capable of being understood and obeyed at the time.</w:t>
      </w:r>
    </w:p>
    <w:p>
      <w:pPr>
        <w:tabs>
          <w:tab w:val="left" w:pos="567"/>
        </w:tabs>
        <w:spacing w:after="120" w:line="276"/>
        <w:ind w:left="567" w:hanging="567"/>
        <w:jc w:val="both"/>
      </w:pPr>
      <w:r>
        <w:rPr>
          <w:rFonts w:ascii="Calibri" w:cs="Calibri" w:eastAsia="Calibri" w:hAnsi="Calibri"/>
          <w:sz w:val="22"/>
          <w:szCs w:val="22"/>
        </w:rPr>
        <w:t xml:space="preserve">16.	</w:t>
      </w:r>
      <w:r>
        <w:rPr>
          <w:rFonts w:ascii="Calibri" w:cs="Calibri" w:eastAsia="Calibri" w:hAnsi="Calibri"/>
          <w:sz w:val="22"/>
          <w:szCs w:val="22"/>
        </w:rPr>
        <w:t xml:space="preserve">The Tribunal applies the law in force at the time of its own decision (</w:t>
      </w:r>
      <w:r>
        <w:rPr>
          <w:rFonts w:ascii="Calibri" w:cs="Calibri" w:eastAsia="Calibri" w:hAnsi="Calibri"/>
          <w:i/>
          <w:iCs/>
          <w:sz w:val="22"/>
          <w:szCs w:val="22"/>
        </w:rPr>
        <w:t xml:space="preserve">Khalil v Minister for Immigration, Citizenship and Multicultural Affairs</w:t>
      </w:r>
      <w:r>
        <w:rPr>
          <w:rFonts w:ascii="Calibri" w:cs="Calibri" w:eastAsia="Calibri" w:hAnsi="Calibri"/>
          <w:sz w:val="22"/>
          <w:szCs w:val="22"/>
        </w:rPr>
        <w:t xml:space="preserve"> [2025] HCA 33). If the Respondent intends to rely on the provisions inserted into section 73ZN in 2026, it should say so before the applicants file their evidence.</w:t>
      </w:r>
    </w:p>
    <w:p>
      <w:pPr>
        <w:spacing w:after="120" w:before="240"/>
      </w:pPr>
      <w:r>
        <w:rPr>
          <w:rFonts w:ascii="Calibri" w:cs="Calibri" w:eastAsia="Calibri" w:hAnsi="Calibri"/>
          <w:b/>
          <w:bCs/>
          <w:sz w:val="22"/>
          <w:szCs w:val="22"/>
        </w:rPr>
        <w:t xml:space="preserve">F.  Directions sought</w:t>
      </w:r>
    </w:p>
    <w:p>
      <w:pPr>
        <w:tabs>
          <w:tab w:val="left" w:pos="567"/>
        </w:tabs>
        <w:spacing w:after="120" w:line="276"/>
        <w:ind w:left="567" w:hanging="567"/>
        <w:jc w:val="both"/>
      </w:pPr>
      <w:r>
        <w:rPr>
          <w:rFonts w:ascii="Calibri" w:cs="Calibri" w:eastAsia="Calibri" w:hAnsi="Calibri"/>
          <w:sz w:val="22"/>
          <w:szCs w:val="22"/>
        </w:rPr>
        <w:t xml:space="preserve">1.	</w:t>
      </w:r>
      <w:r>
        <w:rPr>
          <w:rFonts w:ascii="Calibri" w:cs="Calibri" w:eastAsia="Calibri" w:hAnsi="Calibri"/>
          <w:b/>
          <w:bCs/>
          <w:sz w:val="22"/>
          <w:szCs w:val="22"/>
        </w:rPr>
        <w:t xml:space="preserve">Directions hearing. </w:t>
      </w:r>
      <w:r>
        <w:rPr>
          <w:rFonts w:ascii="Calibri" w:cs="Calibri" w:eastAsia="Calibri" w:hAnsi="Calibri"/>
          <w:sz w:val="22"/>
          <w:szCs w:val="22"/>
        </w:rPr>
        <w:t xml:space="preserve">The applications be listed for the telephone directions hearing foreshadowed at [41] of the decision of 30 July 2026 at the earliest available date.</w:t>
      </w:r>
    </w:p>
    <w:p>
      <w:pPr>
        <w:tabs>
          <w:tab w:val="left" w:pos="567"/>
        </w:tabs>
        <w:spacing w:after="120" w:line="276"/>
        <w:ind w:left="567" w:hanging="567"/>
        <w:jc w:val="both"/>
      </w:pPr>
      <w:r>
        <w:rPr>
          <w:rFonts w:ascii="Calibri" w:cs="Calibri" w:eastAsia="Calibri" w:hAnsi="Calibri"/>
          <w:sz w:val="22"/>
          <w:szCs w:val="22"/>
        </w:rPr>
        <w:t xml:space="preserve">2.	</w:t>
      </w:r>
      <w:r>
        <w:rPr>
          <w:rFonts w:ascii="Calibri" w:cs="Calibri" w:eastAsia="Calibri" w:hAnsi="Calibri"/>
          <w:b/>
          <w:bCs/>
          <w:sz w:val="22"/>
          <w:szCs w:val="22"/>
        </w:rPr>
        <w:t xml:space="preserve">Section 70 application. </w:t>
      </w:r>
      <w:r>
        <w:rPr>
          <w:rFonts w:ascii="Calibri" w:cs="Calibri" w:eastAsia="Calibri" w:hAnsi="Calibri"/>
          <w:sz w:val="22"/>
          <w:szCs w:val="22"/>
        </w:rPr>
        <w:t xml:space="preserve">The Respondent's application of 7 May 2026 be determined at, or as soon as practicable after, the directions hearing on the materials filed, the Tribunal being at liberty to inspect the documents.</w:t>
      </w:r>
    </w:p>
    <w:p>
      <w:pPr>
        <w:tabs>
          <w:tab w:val="left" w:pos="567"/>
        </w:tabs>
        <w:spacing w:after="120" w:line="276"/>
        <w:ind w:left="567" w:hanging="567"/>
        <w:jc w:val="both"/>
      </w:pPr>
      <w:r>
        <w:rPr>
          <w:rFonts w:ascii="Calibri" w:cs="Calibri" w:eastAsia="Calibri" w:hAnsi="Calibri"/>
          <w:sz w:val="22"/>
          <w:szCs w:val="22"/>
        </w:rPr>
        <w:t xml:space="preserve">3.	</w:t>
      </w:r>
      <w:r>
        <w:rPr>
          <w:rFonts w:ascii="Calibri" w:cs="Calibri" w:eastAsia="Calibri" w:hAnsi="Calibri"/>
          <w:b/>
          <w:bCs/>
          <w:sz w:val="22"/>
          <w:szCs w:val="22"/>
        </w:rPr>
        <w:t xml:space="preserve">Withheld documents. </w:t>
      </w:r>
      <w:r>
        <w:rPr>
          <w:rFonts w:ascii="Calibri" w:cs="Calibri" w:eastAsia="Calibri" w:hAnsi="Calibri"/>
          <w:sz w:val="22"/>
          <w:szCs w:val="22"/>
        </w:rPr>
        <w:t xml:space="preserve">Within 14 days, the Respondent (a) give the Tribunal each of Attachments 1D, 6 and 55 to EC22-002000, each attachment to EC22-002581, and the internal working documents referred to in the internal review of 8 June 2023, to the extent not already given; and (b) file and serve a list describing each (date, author, recipient, general nature) and the basis on which it is said to be irrelevant or not to be disclosed. Any applicant may respond within 7 days, and any dispute be determined on the papers or at a case event.</w:t>
      </w:r>
    </w:p>
    <w:p>
      <w:pPr>
        <w:tabs>
          <w:tab w:val="left" w:pos="567"/>
        </w:tabs>
        <w:spacing w:after="120" w:line="276"/>
        <w:ind w:left="567" w:hanging="567"/>
        <w:jc w:val="both"/>
      </w:pPr>
      <w:r>
        <w:rPr>
          <w:rFonts w:ascii="Calibri" w:cs="Calibri" w:eastAsia="Calibri" w:hAnsi="Calibri"/>
          <w:sz w:val="22"/>
          <w:szCs w:val="22"/>
        </w:rPr>
        <w:t xml:space="preserve">4.	</w:t>
      </w:r>
      <w:r>
        <w:rPr>
          <w:rFonts w:ascii="Calibri" w:cs="Calibri" w:eastAsia="Calibri" w:hAnsi="Calibri"/>
          <w:b/>
          <w:bCs/>
          <w:sz w:val="22"/>
          <w:szCs w:val="22"/>
        </w:rPr>
        <w:t xml:space="preserve">Supplementary tender bundle. </w:t>
      </w:r>
      <w:r>
        <w:rPr>
          <w:rFonts w:ascii="Calibri" w:cs="Calibri" w:eastAsia="Calibri" w:hAnsi="Calibri"/>
          <w:sz w:val="22"/>
          <w:szCs w:val="22"/>
        </w:rPr>
        <w:t xml:space="preserve">Within 14 days of the determination of the section 70 application, and in any event by a fixed date, the Respondent lodge and serve its supplementary tender bundle.</w:t>
      </w:r>
    </w:p>
    <w:p>
      <w:pPr>
        <w:tabs>
          <w:tab w:val="left" w:pos="567"/>
        </w:tabs>
        <w:spacing w:after="120" w:line="276"/>
        <w:ind w:left="567" w:hanging="567"/>
        <w:jc w:val="both"/>
      </w:pPr>
      <w:r>
        <w:rPr>
          <w:rFonts w:ascii="Calibri" w:cs="Calibri" w:eastAsia="Calibri" w:hAnsi="Calibri"/>
          <w:sz w:val="22"/>
          <w:szCs w:val="22"/>
        </w:rPr>
        <w:t xml:space="preserve">5.	</w:t>
      </w:r>
      <w:r>
        <w:rPr>
          <w:rFonts w:ascii="Calibri" w:cs="Calibri" w:eastAsia="Calibri" w:hAnsi="Calibri"/>
          <w:b/>
          <w:bCs/>
          <w:sz w:val="22"/>
          <w:szCs w:val="22"/>
        </w:rPr>
        <w:t xml:space="preserve">Delegations. </w:t>
      </w:r>
      <w:r>
        <w:rPr>
          <w:rFonts w:ascii="Calibri" w:cs="Calibri" w:eastAsia="Calibri" w:hAnsi="Calibri"/>
          <w:sz w:val="22"/>
          <w:szCs w:val="22"/>
        </w:rPr>
        <w:t xml:space="preserve">Within 14 days, the Respondent serve the instrument of delegation under which each decision concerning the Third Applicant was made (EC22-002000 at [7] refers to Delegations Instrument No. 2 of 2022).</w:t>
      </w:r>
    </w:p>
    <w:p>
      <w:pPr>
        <w:tabs>
          <w:tab w:val="left" w:pos="567"/>
        </w:tabs>
        <w:spacing w:after="120" w:line="276"/>
        <w:ind w:left="567" w:hanging="567"/>
        <w:jc w:val="both"/>
      </w:pPr>
      <w:r>
        <w:rPr>
          <w:rFonts w:ascii="Calibri" w:cs="Calibri" w:eastAsia="Calibri" w:hAnsi="Calibri"/>
          <w:sz w:val="22"/>
          <w:szCs w:val="22"/>
        </w:rPr>
        <w:t xml:space="preserve">6.	</w:t>
      </w:r>
      <w:r>
        <w:rPr>
          <w:rFonts w:ascii="Calibri" w:cs="Calibri" w:eastAsia="Calibri" w:hAnsi="Calibri"/>
          <w:b/>
          <w:bCs/>
          <w:sz w:val="22"/>
          <w:szCs w:val="22"/>
        </w:rPr>
        <w:t xml:space="preserve">Respondent's statement of case and particulars. </w:t>
      </w:r>
      <w:r>
        <w:rPr>
          <w:rFonts w:ascii="Calibri" w:cs="Calibri" w:eastAsia="Calibri" w:hAnsi="Calibri"/>
          <w:sz w:val="22"/>
          <w:szCs w:val="22"/>
        </w:rPr>
        <w:t xml:space="preserve">Pursuant to section 79(2)(b) and (3) of the ART Act, within 28 days of service of the supplementary tender bundle, the Respondent file and serve a statement identifying, in respect of the Third Applicant:</w:t>
      </w:r>
    </w:p>
    <w:p>
      <w:pPr>
        <w:tabs>
          <w:tab w:val="left" w:pos="1134"/>
        </w:tabs>
        <w:spacing w:after="80" w:line="276"/>
        <w:ind w:left="1134" w:hanging="567"/>
        <w:jc w:val="both"/>
      </w:pPr>
      <w:r>
        <w:rPr>
          <w:rFonts w:ascii="Calibri" w:cs="Calibri" w:eastAsia="Calibri" w:hAnsi="Calibri"/>
          <w:sz w:val="22"/>
          <w:szCs w:val="22"/>
        </w:rPr>
        <w:t xml:space="preserve">(a)	</w:t>
      </w:r>
      <w:r>
        <w:rPr>
          <w:rFonts w:ascii="Calibri" w:cs="Calibri" w:eastAsia="Calibri" w:hAnsi="Calibri"/>
          <w:sz w:val="22"/>
          <w:szCs w:val="22"/>
        </w:rPr>
        <w:t xml:space="preserve">the decision it will ask the Tribunal to make and, if it seeks a banning order, its complete wording, duration and commencement, and its position on </w:t>
      </w:r>
      <w:r>
        <w:rPr>
          <w:rFonts w:ascii="Calibri" w:cs="Calibri" w:eastAsia="Calibri" w:hAnsi="Calibri"/>
          <w:i/>
          <w:iCs/>
          <w:sz w:val="22"/>
          <w:szCs w:val="22"/>
        </w:rPr>
        <w:t xml:space="preserve">Sunflower</w:t>
      </w:r>
      <w:r>
        <w:rPr>
          <w:rFonts w:ascii="Calibri" w:cs="Calibri" w:eastAsia="Calibri" w:hAnsi="Calibri"/>
          <w:sz w:val="22"/>
          <w:szCs w:val="22"/>
        </w:rPr>
        <w:t xml:space="preserve">;</w:t>
      </w:r>
    </w:p>
    <w:p>
      <w:pPr>
        <w:tabs>
          <w:tab w:val="left" w:pos="1134"/>
        </w:tabs>
        <w:spacing w:after="80" w:line="276"/>
        <w:ind w:left="1134" w:hanging="567"/>
        <w:jc w:val="both"/>
      </w:pPr>
      <w:r>
        <w:rPr>
          <w:rFonts w:ascii="Calibri" w:cs="Calibri" w:eastAsia="Calibri" w:hAnsi="Calibri"/>
          <w:sz w:val="22"/>
          <w:szCs w:val="22"/>
        </w:rPr>
        <w:t xml:space="preserve">(b)	</w:t>
      </w:r>
      <w:r>
        <w:rPr>
          <w:rFonts w:ascii="Calibri" w:cs="Calibri" w:eastAsia="Calibri" w:hAnsi="Calibri"/>
          <w:sz w:val="22"/>
          <w:szCs w:val="22"/>
        </w:rPr>
        <w:t xml:space="preserve">for the finding at [38](a): each claim relied on (participant, service dates, amount, invoice and payment request number, the entity that made the claim), whether the claim was later cancelled, offset or repaid, and whether the claim is attributed to the Third Applicant or to another entity;</w:t>
      </w:r>
    </w:p>
    <w:p>
      <w:pPr>
        <w:tabs>
          <w:tab w:val="left" w:pos="1134"/>
        </w:tabs>
        <w:spacing w:after="80" w:line="276"/>
        <w:ind w:left="1134" w:hanging="567"/>
        <w:jc w:val="both"/>
      </w:pPr>
      <w:r>
        <w:rPr>
          <w:rFonts w:ascii="Calibri" w:cs="Calibri" w:eastAsia="Calibri" w:hAnsi="Calibri"/>
          <w:sz w:val="22"/>
          <w:szCs w:val="22"/>
        </w:rPr>
        <w:t xml:space="preserve">(c)	</w:t>
      </w:r>
      <w:r>
        <w:rPr>
          <w:rFonts w:ascii="Calibri" w:cs="Calibri" w:eastAsia="Calibri" w:hAnsi="Calibri"/>
          <w:sz w:val="22"/>
          <w:szCs w:val="22"/>
        </w:rPr>
        <w:t xml:space="preserve">for the finding at [38](b): each incident alleged against any officer or worker of the Third Applicant (date, participant, person, conduct and source);</w:t>
      </w:r>
    </w:p>
    <w:p>
      <w:pPr>
        <w:tabs>
          <w:tab w:val="left" w:pos="1134"/>
        </w:tabs>
        <w:spacing w:after="80" w:line="276"/>
        <w:ind w:left="1134" w:hanging="567"/>
        <w:jc w:val="both"/>
      </w:pPr>
      <w:r>
        <w:rPr>
          <w:rFonts w:ascii="Calibri" w:cs="Calibri" w:eastAsia="Calibri" w:hAnsi="Calibri"/>
          <w:sz w:val="22"/>
          <w:szCs w:val="22"/>
        </w:rPr>
        <w:t xml:space="preserve">(d)	</w:t>
      </w:r>
      <w:r>
        <w:rPr>
          <w:rFonts w:ascii="Calibri" w:cs="Calibri" w:eastAsia="Calibri" w:hAnsi="Calibri"/>
          <w:sz w:val="22"/>
          <w:szCs w:val="22"/>
        </w:rPr>
        <w:t xml:space="preserve">for the finding at [38](c): any conduct of the Third Applicant said to contravene a banning order;</w:t>
      </w:r>
    </w:p>
    <w:p>
      <w:pPr>
        <w:tabs>
          <w:tab w:val="left" w:pos="1134"/>
        </w:tabs>
        <w:spacing w:after="80" w:line="276"/>
        <w:ind w:left="1134" w:hanging="567"/>
        <w:jc w:val="both"/>
      </w:pPr>
      <w:r>
        <w:rPr>
          <w:rFonts w:ascii="Calibri" w:cs="Calibri" w:eastAsia="Calibri" w:hAnsi="Calibri"/>
          <w:sz w:val="22"/>
          <w:szCs w:val="22"/>
        </w:rPr>
        <w:t xml:space="preserve">(e)	</w:t>
      </w:r>
      <w:r>
        <w:rPr>
          <w:rFonts w:ascii="Calibri" w:cs="Calibri" w:eastAsia="Calibri" w:hAnsi="Calibri"/>
          <w:sz w:val="22"/>
          <w:szCs w:val="22"/>
        </w:rPr>
        <w:t xml:space="preserve">for each matter in (b) to (d), the document or statement (by tender reference) relied on to prove it, and any expert or forensic analysis of the claims on which it intends to rely;</w:t>
      </w:r>
    </w:p>
    <w:p>
      <w:pPr>
        <w:tabs>
          <w:tab w:val="left" w:pos="1134"/>
        </w:tabs>
        <w:spacing w:after="80" w:line="276"/>
        <w:ind w:left="1134" w:hanging="567"/>
        <w:jc w:val="both"/>
      </w:pPr>
      <w:r>
        <w:rPr>
          <w:rFonts w:ascii="Calibri" w:cs="Calibri" w:eastAsia="Calibri" w:hAnsi="Calibri"/>
          <w:sz w:val="22"/>
          <w:szCs w:val="22"/>
        </w:rPr>
        <w:t xml:space="preserve">(f)	</w:t>
      </w:r>
      <w:r>
        <w:rPr>
          <w:rFonts w:ascii="Calibri" w:cs="Calibri" w:eastAsia="Calibri" w:hAnsi="Calibri"/>
          <w:sz w:val="22"/>
          <w:szCs w:val="22"/>
        </w:rPr>
        <w:t xml:space="preserve">whether it relies on any current investigation or proceeding concerning the Third Applicant and, if so, its identity and status;</w:t>
      </w:r>
    </w:p>
    <w:p>
      <w:pPr>
        <w:tabs>
          <w:tab w:val="left" w:pos="1134"/>
        </w:tabs>
        <w:spacing w:after="80" w:line="276"/>
        <w:ind w:left="1134" w:hanging="567"/>
        <w:jc w:val="both"/>
      </w:pPr>
      <w:r>
        <w:rPr>
          <w:rFonts w:ascii="Calibri" w:cs="Calibri" w:eastAsia="Calibri" w:hAnsi="Calibri"/>
          <w:sz w:val="22"/>
          <w:szCs w:val="22"/>
        </w:rPr>
        <w:t xml:space="preserve">(g)	</w:t>
      </w:r>
      <w:r>
        <w:rPr>
          <w:rFonts w:ascii="Calibri" w:cs="Calibri" w:eastAsia="Calibri" w:hAnsi="Calibri"/>
          <w:sz w:val="22"/>
          <w:szCs w:val="22"/>
        </w:rPr>
        <w:t xml:space="preserve">each witness it intends to call, and each statement on which it intends to rely without calling its maker; and</w:t>
      </w:r>
    </w:p>
    <w:p>
      <w:pPr>
        <w:tabs>
          <w:tab w:val="left" w:pos="1134"/>
        </w:tabs>
        <w:spacing w:after="80" w:line="276"/>
        <w:ind w:left="1134" w:hanging="567"/>
        <w:jc w:val="both"/>
      </w:pPr>
      <w:r>
        <w:rPr>
          <w:rFonts w:ascii="Calibri" w:cs="Calibri" w:eastAsia="Calibri" w:hAnsi="Calibri"/>
          <w:sz w:val="22"/>
          <w:szCs w:val="22"/>
        </w:rPr>
        <w:t xml:space="preserve">(h)	</w:t>
      </w:r>
      <w:r>
        <w:rPr>
          <w:rFonts w:ascii="Calibri" w:cs="Calibri" w:eastAsia="Calibri" w:hAnsi="Calibri"/>
          <w:sz w:val="22"/>
          <w:szCs w:val="22"/>
        </w:rPr>
        <w:t xml:space="preserve">whether it relies on section 73ZN(2B) or (2C) of the NDIS Act as in force from 9 April 2026 and, if so, how it says those provisions apply to conduct before that date.</w:t>
      </w:r>
    </w:p>
    <w:p>
      <w:pPr>
        <w:tabs>
          <w:tab w:val="left" w:pos="567"/>
        </w:tabs>
        <w:spacing w:after="120" w:line="276"/>
        <w:ind w:left="567" w:hanging="567"/>
        <w:jc w:val="both"/>
      </w:pPr>
      <w:r>
        <w:rPr>
          <w:rFonts w:ascii="Calibri" w:cs="Calibri" w:eastAsia="Calibri" w:hAnsi="Calibri"/>
          <w:sz w:val="22"/>
          <w:szCs w:val="22"/>
        </w:rPr>
        <w:t xml:space="preserve">7.	</w:t>
      </w:r>
      <w:r>
        <w:rPr>
          <w:rFonts w:ascii="Calibri" w:cs="Calibri" w:eastAsia="Calibri" w:hAnsi="Calibri"/>
          <w:b/>
          <w:bCs/>
          <w:sz w:val="22"/>
          <w:szCs w:val="22"/>
        </w:rPr>
        <w:t xml:space="preserve">Limit of the Respondent's case. </w:t>
      </w:r>
      <w:r>
        <w:rPr>
          <w:rFonts w:ascii="Calibri" w:cs="Calibri" w:eastAsia="Calibri" w:hAnsi="Calibri"/>
          <w:sz w:val="22"/>
          <w:szCs w:val="22"/>
        </w:rPr>
        <w:t xml:space="preserve">Save with the leave of the Tribunal, the Respondent be confined at the hearing to the matters particularised under direction 6.</w:t>
      </w:r>
    </w:p>
    <w:p>
      <w:pPr>
        <w:tabs>
          <w:tab w:val="left" w:pos="567"/>
        </w:tabs>
        <w:spacing w:after="120" w:line="276"/>
        <w:ind w:left="567" w:hanging="567"/>
        <w:jc w:val="both"/>
      </w:pPr>
      <w:r>
        <w:rPr>
          <w:rFonts w:ascii="Calibri" w:cs="Calibri" w:eastAsia="Calibri" w:hAnsi="Calibri"/>
          <w:sz w:val="22"/>
          <w:szCs w:val="22"/>
        </w:rPr>
        <w:t xml:space="preserve">8.	</w:t>
      </w:r>
      <w:r>
        <w:rPr>
          <w:rFonts w:ascii="Calibri" w:cs="Calibri" w:eastAsia="Calibri" w:hAnsi="Calibri"/>
          <w:b/>
          <w:bCs/>
          <w:sz w:val="22"/>
          <w:szCs w:val="22"/>
        </w:rPr>
        <w:t xml:space="preserve">Applicants' SFIC and evidence. </w:t>
      </w:r>
      <w:r>
        <w:rPr>
          <w:rFonts w:ascii="Calibri" w:cs="Calibri" w:eastAsia="Calibri" w:hAnsi="Calibri"/>
          <w:sz w:val="22"/>
          <w:szCs w:val="22"/>
        </w:rPr>
        <w:t xml:space="preserve">Each applicant file and serve an updated SFIC and any further evidence within 35 days of service of the statement under direction 6.</w:t>
      </w:r>
    </w:p>
    <w:p>
      <w:pPr>
        <w:tabs>
          <w:tab w:val="left" w:pos="567"/>
        </w:tabs>
        <w:spacing w:after="120" w:line="276"/>
        <w:ind w:left="567" w:hanging="567"/>
        <w:jc w:val="both"/>
      </w:pPr>
      <w:r>
        <w:rPr>
          <w:rFonts w:ascii="Calibri" w:cs="Calibri" w:eastAsia="Calibri" w:hAnsi="Calibri"/>
          <w:sz w:val="22"/>
          <w:szCs w:val="22"/>
        </w:rPr>
        <w:t xml:space="preserve">9.	</w:t>
      </w:r>
      <w:r>
        <w:rPr>
          <w:rFonts w:ascii="Calibri" w:cs="Calibri" w:eastAsia="Calibri" w:hAnsi="Calibri"/>
          <w:b/>
          <w:bCs/>
          <w:sz w:val="22"/>
          <w:szCs w:val="22"/>
        </w:rPr>
        <w:t xml:space="preserve">Respondent's SFIC and evidence. </w:t>
      </w:r>
      <w:r>
        <w:rPr>
          <w:rFonts w:ascii="Calibri" w:cs="Calibri" w:eastAsia="Calibri" w:hAnsi="Calibri"/>
          <w:sz w:val="22"/>
          <w:szCs w:val="22"/>
        </w:rPr>
        <w:t xml:space="preserve">The Respondent file and serve its SFIC and any further evidence within 28 days after direction 8.</w:t>
      </w:r>
    </w:p>
    <w:p>
      <w:pPr>
        <w:tabs>
          <w:tab w:val="left" w:pos="567"/>
        </w:tabs>
        <w:spacing w:after="120" w:line="276"/>
        <w:ind w:left="567" w:hanging="567"/>
        <w:jc w:val="both"/>
      </w:pPr>
      <w:r>
        <w:rPr>
          <w:rFonts w:ascii="Calibri" w:cs="Calibri" w:eastAsia="Calibri" w:hAnsi="Calibri"/>
          <w:sz w:val="22"/>
          <w:szCs w:val="22"/>
        </w:rPr>
        <w:t xml:space="preserve">10.	</w:t>
      </w:r>
      <w:r>
        <w:rPr>
          <w:rFonts w:ascii="Calibri" w:cs="Calibri" w:eastAsia="Calibri" w:hAnsi="Calibri"/>
          <w:b/>
          <w:bCs/>
          <w:sz w:val="22"/>
          <w:szCs w:val="22"/>
        </w:rPr>
        <w:t xml:space="preserve">Reply. </w:t>
      </w:r>
      <w:r>
        <w:rPr>
          <w:rFonts w:ascii="Calibri" w:cs="Calibri" w:eastAsia="Calibri" w:hAnsi="Calibri"/>
          <w:sz w:val="22"/>
          <w:szCs w:val="22"/>
        </w:rPr>
        <w:t xml:space="preserve">Any applicant file and serve any reply within 14 days after direction 9.</w:t>
      </w:r>
    </w:p>
    <w:p>
      <w:pPr>
        <w:tabs>
          <w:tab w:val="left" w:pos="567"/>
        </w:tabs>
        <w:spacing w:after="120" w:line="276"/>
        <w:ind w:left="567" w:hanging="567"/>
        <w:jc w:val="both"/>
      </w:pPr>
      <w:r>
        <w:rPr>
          <w:rFonts w:ascii="Calibri" w:cs="Calibri" w:eastAsia="Calibri" w:hAnsi="Calibri"/>
          <w:sz w:val="22"/>
          <w:szCs w:val="22"/>
        </w:rPr>
        <w:t xml:space="preserve">11.	</w:t>
      </w:r>
      <w:r>
        <w:rPr>
          <w:rFonts w:ascii="Calibri" w:cs="Calibri" w:eastAsia="Calibri" w:hAnsi="Calibri"/>
          <w:b/>
          <w:bCs/>
          <w:sz w:val="22"/>
          <w:szCs w:val="22"/>
        </w:rPr>
        <w:t xml:space="preserve">Cross-examination. </w:t>
      </w:r>
      <w:r>
        <w:rPr>
          <w:rFonts w:ascii="Calibri" w:cs="Calibri" w:eastAsia="Calibri" w:hAnsi="Calibri"/>
          <w:sz w:val="22"/>
          <w:szCs w:val="22"/>
        </w:rPr>
        <w:t xml:space="preserve">Within 14 days after direction 9, any applicant may serve a notice identifying each statement-maker whose attendance is sought for cross-examination and the propositions in dispute. Any dispute be determined at a case event. The procedure in Part 6 of the Tribunal's Common Procedures Practice Direction 2026 applies to any statement-maker who is required for cross-examination but not made available.</w:t>
      </w:r>
    </w:p>
    <w:p>
      <w:pPr>
        <w:tabs>
          <w:tab w:val="left" w:pos="567"/>
        </w:tabs>
        <w:spacing w:after="120" w:line="276"/>
        <w:ind w:left="567" w:hanging="567"/>
        <w:jc w:val="both"/>
      </w:pPr>
      <w:r>
        <w:rPr>
          <w:rFonts w:ascii="Calibri" w:cs="Calibri" w:eastAsia="Calibri" w:hAnsi="Calibri"/>
          <w:sz w:val="22"/>
          <w:szCs w:val="22"/>
        </w:rPr>
        <w:t xml:space="preserve">12.	</w:t>
      </w:r>
      <w:r>
        <w:rPr>
          <w:rFonts w:ascii="Calibri" w:cs="Calibri" w:eastAsia="Calibri" w:hAnsi="Calibri"/>
          <w:b/>
          <w:bCs/>
          <w:sz w:val="22"/>
          <w:szCs w:val="22"/>
        </w:rPr>
        <w:t xml:space="preserve">Listing. </w:t>
      </w:r>
      <w:r>
        <w:rPr>
          <w:rFonts w:ascii="Calibri" w:cs="Calibri" w:eastAsia="Calibri" w:hAnsi="Calibri"/>
          <w:sz w:val="22"/>
          <w:szCs w:val="22"/>
        </w:rPr>
        <w:t xml:space="preserve">The matters be listed for final hearing on the first available date after direction 10, and in any event with a view to a decision before December 2027. The hearing estimate be fixed at a short case event after direction 11, taking account of witnesses and interpreter arrangements for the First Applicant.</w:t>
      </w:r>
    </w:p>
    <w:p>
      <w:pPr>
        <w:tabs>
          <w:tab w:val="left" w:pos="567"/>
        </w:tabs>
        <w:spacing w:after="120" w:line="276"/>
        <w:ind w:left="567" w:hanging="567"/>
        <w:jc w:val="both"/>
      </w:pPr>
      <w:r>
        <w:rPr>
          <w:rFonts w:ascii="Calibri" w:cs="Calibri" w:eastAsia="Calibri" w:hAnsi="Calibri"/>
          <w:sz w:val="22"/>
          <w:szCs w:val="22"/>
        </w:rPr>
        <w:t xml:space="preserve">13.	</w:t>
      </w:r>
      <w:r>
        <w:rPr>
          <w:rFonts w:ascii="Calibri" w:cs="Calibri" w:eastAsia="Calibri" w:hAnsi="Calibri"/>
          <w:b/>
          <w:bCs/>
          <w:sz w:val="22"/>
          <w:szCs w:val="22"/>
        </w:rPr>
        <w:t xml:space="preserve">Previous directions. </w:t>
      </w:r>
      <w:r>
        <w:rPr>
          <w:rFonts w:ascii="Calibri" w:cs="Calibri" w:eastAsia="Calibri" w:hAnsi="Calibri"/>
          <w:sz w:val="22"/>
          <w:szCs w:val="22"/>
        </w:rPr>
        <w:t xml:space="preserve">The directions of 15 May 2024 be vacated and replaced by these directions.</w:t>
      </w:r>
    </w:p>
    <w:p>
      <w:pPr>
        <w:tabs>
          <w:tab w:val="left" w:pos="567"/>
        </w:tabs>
        <w:spacing w:after="120" w:line="276"/>
        <w:ind w:left="567" w:hanging="567"/>
        <w:jc w:val="both"/>
      </w:pPr>
      <w:r>
        <w:rPr>
          <w:rFonts w:ascii="Calibri" w:cs="Calibri" w:eastAsia="Calibri" w:hAnsi="Calibri"/>
          <w:sz w:val="22"/>
          <w:szCs w:val="22"/>
        </w:rPr>
        <w:t xml:space="preserve">14.	</w:t>
      </w:r>
      <w:r>
        <w:rPr>
          <w:rFonts w:ascii="Calibri" w:cs="Calibri" w:eastAsia="Calibri" w:hAnsi="Calibri"/>
          <w:b/>
          <w:bCs/>
          <w:sz w:val="22"/>
          <w:szCs w:val="22"/>
        </w:rPr>
        <w:t xml:space="preserve">Liberty to apply </w:t>
      </w:r>
      <w:r>
        <w:rPr>
          <w:rFonts w:ascii="Calibri" w:cs="Calibri" w:eastAsia="Calibri" w:hAnsi="Calibri"/>
          <w:sz w:val="22"/>
          <w:szCs w:val="22"/>
        </w:rPr>
        <w:t xml:space="preserve">on reasonable notice, including for the issue of summonses under section 74 of the ART Act.</w:t>
      </w:r>
    </w:p>
    <w:p>
      <w:pPr>
        <w:spacing w:before="480"/>
      </w:pPr>
      <w:r>
        <w:rPr>
          <w:rFonts w:ascii="Calibri" w:cs="Calibri" w:eastAsia="Calibri" w:hAnsi="Calibri"/>
          <w:sz w:val="22"/>
          <w:szCs w:val="22"/>
        </w:rPr>
        <w:t xml:space="preserve">Dated: ______________________ 2026</w:t>
      </w:r>
    </w:p>
    <w:p>
      <w:pPr>
        <w:spacing w:before="600"/>
      </w:pPr>
      <w:r>
        <w:rPr>
          <w:rFonts w:ascii="Calibri" w:cs="Calibri" w:eastAsia="Calibri" w:hAnsi="Calibri"/>
          <w:sz w:val="22"/>
          <w:szCs w:val="22"/>
        </w:rPr>
        <w:t xml:space="preserve">________________________________</w:t>
      </w:r>
    </w:p>
    <w:p>
      <w:r>
        <w:rPr>
          <w:rFonts w:ascii="Calibri" w:cs="Calibri" w:eastAsia="Calibri" w:hAnsi="Calibri"/>
          <w:b/>
          <w:bCs/>
          <w:sz w:val="22"/>
          <w:szCs w:val="22"/>
        </w:rPr>
        <w:t xml:space="preserve">Simon Reid</w:t>
      </w:r>
    </w:p>
    <w:p>
      <w:r>
        <w:rPr>
          <w:rFonts w:ascii="Calibri" w:cs="Calibri" w:eastAsia="Calibri" w:hAnsi="Calibri"/>
          <w:sz w:val="22"/>
          <w:szCs w:val="22"/>
        </w:rPr>
        <w:t xml:space="preserve">Director, for and on behalf of the Third Applicant, Forward Focused Group Pty Ltd</w:t>
      </w:r>
    </w:p>
    <w:sectPr>
      <w:pgSz w:w="11906" w:h="16838" w:orient="portrait"/>
      <w:pgMar w:top="1134" w:right="1304"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2026-09-26T14:02:54.709Z</dcterms:created>
  <dcterms:modified xsi:type="dcterms:W3CDTF">2026-09-26T14:02:54.709Z</dcterms:modified>
</cp:coreProperties>
</file>

<file path=docProps/custom.xml><?xml version="1.0" encoding="utf-8"?>
<Properties xmlns="http://schemas.openxmlformats.org/officeDocument/2006/custom-properties" xmlns:vt="http://schemas.openxmlformats.org/officeDocument/2006/docPropsVTypes"/>
</file>