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FIRST APPLICANT'S RESPONSE AND PROPOSED DIRECTIONS</w:t>
      </w:r>
    </w:p>
    <w:p>
      <w:pPr>
        <w:spacing w:after="240"/>
        <w:jc w:val="center"/>
      </w:pPr>
      <w:r>
        <w:rPr>
          <w:rFonts w:ascii="Calibri" w:cs="Calibri" w:eastAsia="Calibri" w:hAnsi="Calibri"/>
          <w:sz w:val="22"/>
          <w:szCs w:val="22"/>
        </w:rPr>
        <w:t xml:space="preserve">in response to the Tribunal's decision dated 31 July 2026 and the Respondent's proposed minute of order dated 14 August 2026</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First Applicant, Mrs Vida Reid, in matter 2023/3361. It does not state the position of, and does not bind, the Second or Third Applicants, each of which responds separately.</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First Applicant does not seek to reopen the Tribunal's decision dated 31 July 2026 that the applications proceed together. She does not adopt the summary at [33] to [39] of the decision, which records the Respondent's allegations and contentions and makes no findings, and she maintains the question identified at [24](c) of the decision (whether the decision of 21 April 2023 lawfully varied the statutory basis of the banning order). She supports the matters proceeding to a final hearing without further delay, subject to the sequence and content proposed below.</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Timing</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The order under review was made on 20 December 2022 under section 73ZN(2)(a)(i) of the NDIS Act and varied on internal review on 21 April 2023, when the reviewer relied instead on section 73ZN(2)(a)(iii). The varied order runs until 12:00am on 21 December 2027 (AWST). The internal review stated that the period </w:t>
      </w:r>
      <w:r>
        <w:rPr>
          <w:rFonts w:ascii="Calibri" w:cs="Calibri" w:eastAsia="Calibri" w:hAnsi="Calibri"/>
          <w:sz w:val="22"/>
          <w:szCs w:val="22"/>
        </w:rPr>
        <w:t xml:space="preserve">“corresponds with the amount of time it is reasonably expected to take for the criminal proceedings to be finally determined by the court. Upon the determination of those proceedings, the banning order can be revisited and consideration given to whether it should be varied or revoked entirely.”</w:t>
      </w:r>
      <w:r>
        <w:rPr>
          <w:rFonts w:ascii="Calibri" w:cs="Calibri" w:eastAsia="Calibri" w:hAnsi="Calibri"/>
          <w:sz w:val="22"/>
          <w:szCs w:val="22"/>
        </w:rPr>
        <w:t xml:space="preserve"> (at [63]). On 23 February 2024, before any evidence had been adduced, the Commonwealth discontinued the prosecution; the Magistrates Court dismissed the charges for want of prosecution and discharged the First Applicant. On 11 March 2025 the Respondent informed the Tribunal that the NDIA had advised that there was </w:t>
      </w:r>
      <w:r>
        <w:rPr>
          <w:rFonts w:ascii="Calibri" w:cs="Calibri" w:eastAsia="Calibri" w:hAnsi="Calibri"/>
          <w:sz w:val="22"/>
          <w:szCs w:val="22"/>
        </w:rPr>
        <w:t xml:space="preserve">“no current criminal investigation pertaining to Mrs Reid or to FFG”</w:t>
      </w:r>
      <w:r>
        <w:rPr>
          <w:rFonts w:ascii="Calibri" w:cs="Calibri" w:eastAsia="Calibri" w:hAnsi="Calibri"/>
          <w:sz w:val="22"/>
          <w:szCs w:val="22"/>
        </w:rPr>
        <w:t xml:space="preserve">. The order has not been revisited.</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The present position is as follows:</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w:t>
      </w:r>
      <w:r>
        <w:rPr>
          <w:rFonts w:ascii="Calibri" w:cs="Calibri" w:eastAsia="Calibri" w:hAnsi="Calibri"/>
          <w:i/>
          <w:iCs/>
          <w:sz w:val="22"/>
          <w:szCs w:val="22"/>
        </w:rPr>
        <w:t xml:space="preserve">ART Act</w:t>
      </w:r>
      <w:r>
        <w:rPr>
          <w:rFonts w:ascii="Calibri" w:cs="Calibri" w:eastAsia="Calibri" w:hAnsi="Calibri"/>
          <w:sz w:val="22"/>
          <w:szCs w:val="22"/>
        </w:rPr>
        <w:t xml:space="preserve">) remains undetermined. The Second Applicant filed submissions in response on 19 May 2026.</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At [41] of its decision the Tribunal directed the Respondent to file and serve a proposed timetable within 14 days and indicated that the applications would then be relisted for a telephone directions hearing. The Respondent served its minute on 14 August 2026. No directions hearing has yet been listed.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On 19 March 2026 the Respondent informed the Tribunal that documents relating to the Second Applicant </w:t>
      </w:r>
      <w:r>
        <w:rPr>
          <w:rFonts w:ascii="Calibri" w:cs="Calibri" w:eastAsia="Calibri" w:hAnsi="Calibri"/>
          <w:sz w:val="22"/>
          <w:szCs w:val="22"/>
        </w:rPr>
        <w:t xml:space="preserve">“were not included in the previous tender bundle”</w:t>
      </w:r>
      <w:r>
        <w:rPr>
          <w:rFonts w:ascii="Calibri" w:cs="Calibri" w:eastAsia="Calibri" w:hAnsi="Calibri"/>
          <w:sz w:val="22"/>
          <w:szCs w:val="22"/>
        </w:rPr>
        <w:t xml:space="preserve"> (submissions at [15]), and proposed to file an updated tender bundle </w:t>
      </w:r>
      <w:r>
        <w:rPr>
          <w:rFonts w:ascii="Calibri" w:cs="Calibri" w:eastAsia="Calibri" w:hAnsi="Calibri"/>
          <w:sz w:val="22"/>
          <w:szCs w:val="22"/>
        </w:rPr>
        <w:t xml:space="preserve">“consisting of all documents required to be produced under section 23”</w:t>
      </w:r>
      <w:r>
        <w:rPr>
          <w:rFonts w:ascii="Calibri" w:cs="Calibri" w:eastAsia="Calibri" w:hAnsi="Calibri"/>
          <w:sz w:val="22"/>
          <w:szCs w:val="22"/>
        </w:rPr>
        <w:t xml:space="preserve"> of the ART Act (at [18.1]). Its minute proposed that the bundle be filed by 28 August 2026. No order has been made, and the First Applicant has not received the bundle.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minute proposed that the applicants file their updated statements of facts, issues and contentions (</w:t>
      </w:r>
      <w:r>
        <w:rPr>
          <w:rFonts w:ascii="Calibri" w:cs="Calibri" w:eastAsia="Calibri" w:hAnsi="Calibri"/>
          <w:i/>
          <w:iCs/>
          <w:sz w:val="22"/>
          <w:szCs w:val="22"/>
        </w:rPr>
        <w:t xml:space="preserve">SFICs</w:t>
      </w:r>
      <w:r>
        <w:rPr>
          <w:rFonts w:ascii="Calibri" w:cs="Calibri" w:eastAsia="Calibri" w:hAnsi="Calibri"/>
          <w:sz w:val="22"/>
          <w:szCs w:val="22"/>
        </w:rPr>
        <w:t xml:space="preserve">) and evidence by 25 September 2026 — four weeks after a bundle that has not been served, before the section 70 application is determined, and before the Respondent has identified the case it relies on against each applicant. No order was made in those terms.</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On 2 November 2023 the Respondent submitted that it would </w:t>
      </w:r>
      <w:r>
        <w:rPr>
          <w:rFonts w:ascii="Calibri" w:cs="Calibri" w:eastAsia="Calibri" w:hAnsi="Calibri"/>
          <w:sz w:val="22"/>
          <w:szCs w:val="22"/>
        </w:rPr>
        <w:t xml:space="preserve">“be happy to work on an expedited timetable to progress these matters when the current (and any reasonably possible) criminal proceedings are concluded”</w:t>
      </w:r>
      <w:r>
        <w:rPr>
          <w:rFonts w:ascii="Calibri" w:cs="Calibri" w:eastAsia="Calibri" w:hAnsi="Calibri"/>
          <w:sz w:val="22"/>
          <w:szCs w:val="22"/>
        </w:rPr>
        <w:t xml:space="preserve"> (submissions at [23]).</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The procedural history includes delay from a number of causes. The First Applicant does not seek to revisit it. The First Applicant asks for a timetable with firm dates that allows the review to be heard and decided well before December 2027, when the individual orders against the First and Second Applicants expire.</w:t>
      </w:r>
    </w:p>
    <w:p>
      <w:pPr>
        <w:spacing w:after="120" w:before="240"/>
      </w:pPr>
      <w:r>
        <w:rPr>
          <w:rFonts w:ascii="Calibri" w:cs="Calibri" w:eastAsia="Calibri" w:hAnsi="Calibri"/>
          <w:b/>
          <w:bCs/>
          <w:sz w:val="22"/>
          <w:szCs w:val="22"/>
        </w:rPr>
        <w:t xml:space="preserve">C.  The findings the Tribunal must make, and the case the First Applicant must meet</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At [38] of its decision the Tribunal identified that it will need to consider whether each applicant is a suitable person to be involved in the provision of services to people with disability under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w:t>
      </w:r>
      <w:r>
        <w:rPr>
          <w:rFonts w:ascii="Calibri" w:cs="Calibri" w:eastAsia="Calibri" w:hAnsi="Calibri"/>
          <w:i/>
          <w:iCs/>
          <w:sz w:val="22"/>
          <w:szCs w:val="22"/>
        </w:rPr>
        <w:t xml:space="preserve">NDIS Act</w:t>
      </w:r>
      <w:r>
        <w:rPr>
          <w:rFonts w:ascii="Calibri" w:cs="Calibri" w:eastAsia="Calibri" w:hAnsi="Calibri"/>
          <w:sz w:val="22"/>
          <w:szCs w:val="22"/>
        </w:rPr>
        <w:t xml:space="preserve">), which will require findings relating to the allegations, including (a) whether any NDIS funding was made or received for services that had not been provided to the participant; (b) whether Mr Reid or Mrs Reid had intimidated or harassed any participant; and (c) whether Mr Reid or Mrs Reid had contravened their respective banning orders.</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The matters summarised at [35] to [37] of the decision are, as [38] records, allegations; in summarising them the Tribunal was assisted by the Respondent's summary (at [33]). The First Applicant disputes them in so far as they are relied on against her.</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allegation at [38](a) is framed generally. For it to bear on the First Applicant's suitability, the Respondent should identify the particular claims it relies on against her and what conduct, if any, it attributes to her personally. The matters at [38](b) and (c) should likewise be identified by date, participant and conduct.</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First Applicant does not ask the Tribunal to limit the material the Respondent may rely on. She asks that the Respondent identify, before she files any further material, the claims and conduct it relies on against her and the evidence for each, so that the hearing addresses a defined case rather than allegations at large.</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sz w:val="22"/>
          <w:szCs w:val="22"/>
        </w:rPr>
        <w:t xml:space="preserve">At [39](i) the Tribunal recorded that the privilege against self-incrimination is not abrogated by the ART Act and that there is nothing to compel Mrs Reid to answer such questions. The First Applicant relies on that privilege and on the privilege against exposure to penalties. She asks that any claim of privilege be taken question by question, through the interpreter, and ruled on as it arises, and that no admission be taken from any factual matter that her SFIC does not address.</w:t>
      </w:r>
    </w:p>
    <w:p>
      <w:pPr>
        <w:spacing w:after="120" w:before="240"/>
      </w:pPr>
      <w:r>
        <w:rPr>
          <w:rFonts w:ascii="Calibri" w:cs="Calibri" w:eastAsia="Calibri" w:hAnsi="Calibri"/>
          <w:b/>
          <w:bCs/>
          <w:sz w:val="22"/>
          <w:szCs w:val="22"/>
        </w:rPr>
        <w:t xml:space="preserve">D.  Documents</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sz w:val="22"/>
          <w:szCs w:val="22"/>
        </w:rPr>
        <w:t xml:space="preserve">On 12 September 2023 the Tribunal ordered (order 2) that, </w:t>
      </w:r>
      <w:r>
        <w:rPr>
          <w:rFonts w:ascii="Calibri" w:cs="Calibri" w:eastAsia="Calibri" w:hAnsi="Calibri"/>
          <w:sz w:val="22"/>
          <w:szCs w:val="22"/>
        </w:rPr>
        <w:t xml:space="preserve">“by reason of current criminal proceedings and/or legal professional privilege”</w:t>
      </w:r>
      <w:r>
        <w:rPr>
          <w:rFonts w:ascii="Calibri" w:cs="Calibri" w:eastAsia="Calibri" w:hAnsi="Calibri"/>
          <w:sz w:val="22"/>
          <w:szCs w:val="22"/>
        </w:rPr>
        <w:t xml:space="preserve">, the Respondent was not required to give the applicants the documents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The Respondent had submitted that it </w:t>
      </w:r>
      <w:r>
        <w:rPr>
          <w:rFonts w:ascii="Calibri" w:cs="Calibri" w:eastAsia="Calibri" w:hAnsi="Calibri"/>
          <w:sz w:val="22"/>
          <w:szCs w:val="22"/>
        </w:rPr>
        <w:t xml:space="preserve">“anticipates regularly reviewing the documents set out in the confidential index with a view to disclosing them if and/or when, the grounds for this application fall away”</w:t>
      </w:r>
      <w:r>
        <w:rPr>
          <w:rFonts w:ascii="Calibri" w:cs="Calibri" w:eastAsia="Calibri" w:hAnsi="Calibri"/>
          <w:sz w:val="22"/>
          <w:szCs w:val="22"/>
        </w:rPr>
        <w:t xml:space="preserve"> (submissions of 12 September 2023 at [23]). The only criminal proceedings identified in the material were discontinued on 23 February 2024. The First Applicant asks that the Respondent now state which of those documents remain withheld and on what basis.</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sz w:val="22"/>
          <w:szCs w:val="22"/>
        </w:rPr>
        <w:t xml:space="preserve">Section 23 of the ART Act requires the decision-maker to give the Tribunal every document in its possession or control that is relevant to the review. The First Applicant does not ask that any document be disclosed to her in breach of an existing order. She asks that the documents be before the Tribunal and described sufficiently for relevance or restriction to be decided by the Tribunal.</w:t>
      </w:r>
    </w:p>
    <w:p>
      <w:pPr>
        <w:spacing w:after="120" w:before="240"/>
      </w:pPr>
      <w:r>
        <w:rPr>
          <w:rFonts w:ascii="Calibri" w:cs="Calibri" w:eastAsia="Calibri" w:hAnsi="Calibri"/>
          <w:b/>
          <w:bCs/>
          <w:sz w:val="22"/>
          <w:szCs w:val="22"/>
        </w:rPr>
        <w:t xml:space="preserve">E.  Form of any order</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sz w:val="22"/>
          <w:szCs w:val="22"/>
        </w:rPr>
        <w:t xml:space="preserve">In </w:t>
      </w:r>
      <w:r>
        <w:rPr>
          <w:rFonts w:ascii="Calibri" w:cs="Calibri" w:eastAsia="Calibri" w:hAnsi="Calibri"/>
          <w:i/>
          <w:iCs/>
          <w:sz w:val="22"/>
          <w:szCs w:val="22"/>
        </w:rPr>
        <w:t xml:space="preserve">Sunflower Care Services Pty Ltd v Commissioner of the NDIS Quality and Safeguards Commission (No 2)</w:t>
      </w:r>
      <w:r>
        <w:rPr>
          <w:rFonts w:ascii="Calibri" w:cs="Calibri" w:eastAsia="Calibri" w:hAnsi="Calibri"/>
          <w:sz w:val="22"/>
          <w:szCs w:val="22"/>
        </w:rPr>
        <w:t xml:space="preserve"> [2025] FCA 1442 the Federal Court held that section 73ZN(2) does not authorise an order prohibiting a person from being indirectly involved in specified activities (at [128], [134] and [139]), and that the specified activities must be expressed in terms reasonably capable of being obeyed (at [131]). The original order prohibited the First Applicant from providing supports and services </w:t>
      </w:r>
      <w:r>
        <w:rPr>
          <w:rFonts w:ascii="Calibri" w:cs="Calibri" w:eastAsia="Calibri" w:hAnsi="Calibri"/>
          <w:sz w:val="22"/>
          <w:szCs w:val="22"/>
        </w:rPr>
        <w:t xml:space="preserve">“directly or indirectly”</w:t>
      </w:r>
      <w:r>
        <w:rPr>
          <w:rFonts w:ascii="Calibri" w:cs="Calibri" w:eastAsia="Calibri" w:hAnsi="Calibri"/>
          <w:sz w:val="22"/>
          <w:szCs w:val="22"/>
        </w:rPr>
        <w:t xml:space="preserve">; the varied order prohibits </w:t>
      </w:r>
      <w:r>
        <w:rPr>
          <w:rFonts w:ascii="Calibri" w:cs="Calibri" w:eastAsia="Calibri" w:hAnsi="Calibri"/>
          <w:sz w:val="22"/>
          <w:szCs w:val="22"/>
        </w:rPr>
        <w:t xml:space="preserve">“any involvement with or in the NDIS sector, in any capacity”</w:t>
      </w:r>
      <w:r>
        <w:rPr>
          <w:rFonts w:ascii="Calibri" w:cs="Calibri" w:eastAsia="Calibri" w:hAnsi="Calibri"/>
          <w:sz w:val="22"/>
          <w:szCs w:val="22"/>
        </w:rPr>
        <w:t xml:space="preserve">. The First Applicant asks that the Respondent state in advance the order it will seek, and whether it relies on the provisions inserted into section 73ZN of the NDIS Act in 2026. She reserves her position on those questions.</w:t>
      </w:r>
    </w:p>
    <w:p>
      <w:pPr>
        <w:spacing w:after="120" w:before="240"/>
      </w:pPr>
      <w:r>
        <w:rPr>
          <w:rFonts w:ascii="Calibri" w:cs="Calibri" w:eastAsia="Calibri" w:hAnsi="Calibri"/>
          <w:b/>
          <w:bCs/>
          <w:sz w:val="22"/>
          <w:szCs w:val="22"/>
        </w:rPr>
        <w:t xml:space="preserve">F.  Directions sought</w:t>
      </w:r>
    </w:p>
    <w:p>
      <w:pPr>
        <w:tabs>
          <w:tab w:val="left" w:pos="567"/>
        </w:tabs>
        <w:spacing w:after="120" w:line="276"/>
        <w:ind w:left="567" w:hanging="567"/>
        <w:jc w:val="both"/>
      </w:pPr>
      <w:r>
        <w:rPr>
          <w:rFonts w:ascii="Calibri" w:cs="Calibri" w:eastAsia="Calibri" w:hAnsi="Calibri"/>
          <w:sz w:val="22"/>
          <w:szCs w:val="22"/>
        </w:rPr>
        <w:t xml:space="preserve">D1.	</w:t>
      </w:r>
      <w:r>
        <w:rPr>
          <w:rFonts w:ascii="Calibri" w:cs="Calibri" w:eastAsia="Calibri" w:hAnsi="Calibri"/>
          <w:b/>
          <w:bCs/>
          <w:sz w:val="22"/>
          <w:szCs w:val="22"/>
        </w:rPr>
        <w:t xml:space="preserve">Directions hearing. </w:t>
      </w:r>
      <w:r>
        <w:rPr>
          <w:rFonts w:ascii="Calibri" w:cs="Calibri" w:eastAsia="Calibri" w:hAnsi="Calibri"/>
          <w:sz w:val="22"/>
          <w:szCs w:val="22"/>
        </w:rPr>
        <w:t xml:space="preserve">The applications be listed for the telephone directions hearing foreshadowed at [41] of the decision dated 31 July 2026 at the earliest available date.</w:t>
      </w:r>
    </w:p>
    <w:p>
      <w:pPr>
        <w:tabs>
          <w:tab w:val="left" w:pos="567"/>
        </w:tabs>
        <w:spacing w:after="120" w:line="276"/>
        <w:ind w:left="567" w:hanging="567"/>
        <w:jc w:val="both"/>
      </w:pPr>
      <w:r>
        <w:rPr>
          <w:rFonts w:ascii="Calibri" w:cs="Calibri" w:eastAsia="Calibri" w:hAnsi="Calibri"/>
          <w:sz w:val="22"/>
          <w:szCs w:val="22"/>
        </w:rPr>
        <w:t xml:space="preserve">D2.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The Respondent's application of 7 May 2026 be determined at the directions hearing after brief oral submissions,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D3.	</w:t>
      </w:r>
      <w:r>
        <w:rPr>
          <w:rFonts w:ascii="Calibri" w:cs="Calibri" w:eastAsia="Calibri" w:hAnsi="Calibri"/>
          <w:b/>
          <w:bCs/>
          <w:sz w:val="22"/>
          <w:szCs w:val="22"/>
        </w:rPr>
        <w:t xml:space="preserve">Documents. </w:t>
      </w:r>
      <w:r>
        <w:rPr>
          <w:rFonts w:ascii="Calibri" w:cs="Calibri" w:eastAsia="Calibri" w:hAnsi="Calibri"/>
          <w:sz w:val="22"/>
          <w:szCs w:val="22"/>
        </w:rPr>
        <w:t xml:space="preserve">Within 14 days, the Respondent: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state which documents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remain withheld under order 2 of 12 September 2023 and on what basis, and serve any document withheld only by reason of criminal proceedings that are no longer current; and</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file and serve a list describing each document it withholds from the First Applicant (date, author, recipient, general nature) and the basis for withholding it, including Attachment 55 to briefing note EC22-002000.</w:t>
      </w:r>
    </w:p>
    <w:p>
      <w:pPr>
        <w:spacing w:after="120"/>
        <w:ind w:left="567"/>
        <w:jc w:val="both"/>
      </w:pPr>
      <w:r>
        <w:rPr>
          <w:rFonts w:ascii="Calibri" w:cs="Calibri" w:eastAsia="Calibri" w:hAnsi="Calibri"/>
          <w:sz w:val="22"/>
          <w:szCs w:val="22"/>
        </w:rPr>
        <w:t xml:space="preserve">Any applicant may respond within 7 days of service of the list, and any dispute be determined at a case event.</w:t>
      </w:r>
    </w:p>
    <w:p>
      <w:pPr>
        <w:tabs>
          <w:tab w:val="left" w:pos="567"/>
        </w:tabs>
        <w:spacing w:after="120" w:line="276"/>
        <w:ind w:left="567" w:hanging="567"/>
        <w:jc w:val="both"/>
      </w:pPr>
      <w:r>
        <w:rPr>
          <w:rFonts w:ascii="Calibri" w:cs="Calibri" w:eastAsia="Calibri" w:hAnsi="Calibri"/>
          <w:sz w:val="22"/>
          <w:szCs w:val="22"/>
        </w:rPr>
        <w:t xml:space="preserve">D4.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the Respondent lodge and serve its supplementary tender bundle consisting of all documents required to be produced under section 23 of the ART Act, subject to any order of the Tribunal.</w:t>
      </w:r>
    </w:p>
    <w:p>
      <w:pPr>
        <w:tabs>
          <w:tab w:val="left" w:pos="567"/>
        </w:tabs>
        <w:spacing w:after="120" w:line="276"/>
        <w:ind w:left="567" w:hanging="567"/>
        <w:jc w:val="both"/>
      </w:pPr>
      <w:r>
        <w:rPr>
          <w:rFonts w:ascii="Calibri" w:cs="Calibri" w:eastAsia="Calibri" w:hAnsi="Calibri"/>
          <w:sz w:val="22"/>
          <w:szCs w:val="22"/>
        </w:rPr>
        <w:t xml:space="preserve">D5.	</w:t>
      </w:r>
      <w:r>
        <w:rPr>
          <w:rFonts w:ascii="Calibri" w:cs="Calibri" w:eastAsia="Calibri" w:hAnsi="Calibri"/>
          <w:b/>
          <w:bCs/>
          <w:sz w:val="22"/>
          <w:szCs w:val="22"/>
        </w:rPr>
        <w:t xml:space="preserve">Delegations. </w:t>
      </w:r>
      <w:r>
        <w:rPr>
          <w:rFonts w:ascii="Calibri" w:cs="Calibri" w:eastAsia="Calibri" w:hAnsi="Calibri"/>
          <w:sz w:val="22"/>
          <w:szCs w:val="22"/>
        </w:rPr>
        <w:t xml:space="preserve">Within 14 days, the Respondent serve the instrument of delegation under which each decision of 20 December 2022 and 21 April 2023 concerning the First Applicant was made.</w:t>
      </w:r>
    </w:p>
    <w:p>
      <w:pPr>
        <w:tabs>
          <w:tab w:val="left" w:pos="567"/>
        </w:tabs>
        <w:spacing w:after="120" w:line="276"/>
        <w:ind w:left="567" w:hanging="567"/>
        <w:jc w:val="both"/>
      </w:pPr>
      <w:r>
        <w:rPr>
          <w:rFonts w:ascii="Calibri" w:cs="Calibri" w:eastAsia="Calibri" w:hAnsi="Calibri"/>
          <w:sz w:val="22"/>
          <w:szCs w:val="22"/>
        </w:rPr>
        <w:t xml:space="preserve">D6.	</w:t>
      </w:r>
      <w:r>
        <w:rPr>
          <w:rFonts w:ascii="Calibri" w:cs="Calibri" w:eastAsia="Calibri" w:hAnsi="Calibri"/>
          <w:b/>
          <w:bCs/>
          <w:sz w:val="22"/>
          <w:szCs w:val="22"/>
        </w:rPr>
        <w:t xml:space="preserve">Respondent's statement of case. </w:t>
      </w:r>
      <w:r>
        <w:rPr>
          <w:rFonts w:ascii="Calibri" w:cs="Calibri" w:eastAsia="Calibri" w:hAnsi="Calibri"/>
          <w:sz w:val="22"/>
          <w:szCs w:val="22"/>
        </w:rPr>
        <w:t xml:space="preserve">Pursuant to section 79 of the ART Act, within 21 days of service of the supplementary tender bundle, the Respondent file and serve a short statement identifying, in respect of the First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and, if it seeks a banning order, its complete wording and duration, the paragraph of section 73ZN(2) relied on, and whether it contends that the order under review is within section 73ZN(2) having regard to </w:t>
      </w:r>
      <w:r>
        <w:rPr>
          <w:rFonts w:ascii="Calibri" w:cs="Calibri" w:eastAsia="Calibri" w:hAnsi="Calibri"/>
          <w:i/>
          <w:iCs/>
          <w:sz w:val="22"/>
          <w:szCs w:val="22"/>
        </w:rPr>
        <w:t xml:space="preserve">Sunflower</w:t>
      </w:r>
      <w:r>
        <w:rPr>
          <w:rFonts w:ascii="Calibri" w:cs="Calibri" w:eastAsia="Calibri" w:hAnsi="Calibri"/>
          <w:sz w:val="22"/>
          <w:szCs w:val="22"/>
        </w:rPr>
        <w:t xml:space="preserve">;</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for the finding at [38](a): by schedule, each claim relied on against the First Applicant (participant, service dates, amount and claiming entity), noting any claim later cancelled, offset or repaid, and the conduct attributed to her personally;</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for the finding at [38](b): each incident alleged against the First Applicant personally (date, participant, conduct and source);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for the finding at [38](c): the conduct alleged, its date, and the term of the order said to have been contravened;</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for each matter in (b) to (d), the documents or statements (by tender reference) relied on, and any analysis of the claims on which it intends to rely;</w:t>
      </w:r>
    </w:p>
    <w:p>
      <w:pPr>
        <w:tabs>
          <w:tab w:val="left" w:pos="1134"/>
        </w:tabs>
        <w:spacing w:after="80" w:line="276"/>
        <w:ind w:left="1134" w:hanging="567"/>
        <w:jc w:val="both"/>
      </w:pPr>
      <w:r>
        <w:rPr>
          <w:rFonts w:ascii="Calibri" w:cs="Calibri" w:eastAsia="Calibri" w:hAnsi="Calibri"/>
          <w:sz w:val="22"/>
          <w:szCs w:val="22"/>
        </w:rPr>
        <w:t xml:space="preserve">(f)	</w:t>
      </w:r>
      <w:r>
        <w:rPr>
          <w:rFonts w:ascii="Calibri" w:cs="Calibri" w:eastAsia="Calibri" w:hAnsi="Calibri"/>
          <w:sz w:val="22"/>
          <w:szCs w:val="22"/>
        </w:rPr>
        <w:t xml:space="preserve">whether it relies on any current investigation or proceeding concerning the First Applicant and, if so, its identity and status;</w:t>
      </w:r>
    </w:p>
    <w:p>
      <w:pPr>
        <w:tabs>
          <w:tab w:val="left" w:pos="1134"/>
        </w:tabs>
        <w:spacing w:after="80" w:line="276"/>
        <w:ind w:left="1134" w:hanging="567"/>
        <w:jc w:val="both"/>
      </w:pPr>
      <w:r>
        <w:rPr>
          <w:rFonts w:ascii="Calibri" w:cs="Calibri" w:eastAsia="Calibri" w:hAnsi="Calibri"/>
          <w:sz w:val="22"/>
          <w:szCs w:val="22"/>
        </w:rPr>
        <w:t xml:space="preserve">(g)	</w:t>
      </w:r>
      <w:r>
        <w:rPr>
          <w:rFonts w:ascii="Calibri" w:cs="Calibri" w:eastAsia="Calibri" w:hAnsi="Calibri"/>
          <w:sz w:val="22"/>
          <w:szCs w:val="22"/>
        </w:rPr>
        <w:t xml:space="preserve">whether and how it relies on section 73ZN(2B) or (2C) of the NDIS Act; and</w:t>
      </w:r>
    </w:p>
    <w:p>
      <w:pPr>
        <w:tabs>
          <w:tab w:val="left" w:pos="1134"/>
        </w:tabs>
        <w:spacing w:after="80" w:line="276"/>
        <w:ind w:left="1134" w:hanging="567"/>
        <w:jc w:val="both"/>
      </w:pPr>
      <w:r>
        <w:rPr>
          <w:rFonts w:ascii="Calibri" w:cs="Calibri" w:eastAsia="Calibri" w:hAnsi="Calibri"/>
          <w:sz w:val="22"/>
          <w:szCs w:val="22"/>
        </w:rPr>
        <w:t xml:space="preserve">(h)	</w:t>
      </w:r>
      <w:r>
        <w:rPr>
          <w:rFonts w:ascii="Calibri" w:cs="Calibri" w:eastAsia="Calibri" w:hAnsi="Calibri"/>
          <w:sz w:val="22"/>
          <w:szCs w:val="22"/>
        </w:rPr>
        <w:t xml:space="preserve">each witness it intends to call, and each statement on which it intends to rely without calling its maker.</w:t>
      </w:r>
    </w:p>
    <w:p>
      <w:pPr>
        <w:tabs>
          <w:tab w:val="left" w:pos="567"/>
        </w:tabs>
        <w:spacing w:after="120" w:line="276"/>
        <w:ind w:left="567" w:hanging="567"/>
        <w:jc w:val="both"/>
      </w:pPr>
      <w:r>
        <w:rPr>
          <w:rFonts w:ascii="Calibri" w:cs="Calibri" w:eastAsia="Calibri" w:hAnsi="Calibri"/>
          <w:sz w:val="22"/>
          <w:szCs w:val="22"/>
        </w:rPr>
        <w:t xml:space="preserve">D7.	</w:t>
      </w:r>
      <w:r>
        <w:rPr>
          <w:rFonts w:ascii="Calibri" w:cs="Calibri" w:eastAsia="Calibri" w:hAnsi="Calibri"/>
          <w:b/>
          <w:bCs/>
          <w:sz w:val="22"/>
          <w:szCs w:val="22"/>
        </w:rPr>
        <w:t xml:space="preserve">Notice of further matters. </w:t>
      </w:r>
      <w:r>
        <w:rPr>
          <w:rFonts w:ascii="Calibri" w:cs="Calibri" w:eastAsia="Calibri" w:hAnsi="Calibri"/>
          <w:sz w:val="22"/>
          <w:szCs w:val="22"/>
        </w:rPr>
        <w:t xml:space="preserve">If the Respondent seeks to rely at the hearing on any allegation not identified under direction D6, it give written notice identifying the allegation and the evidence relied on, and the applicants have a reasonable opportunity to respond.</w:t>
      </w:r>
    </w:p>
    <w:p>
      <w:pPr>
        <w:tabs>
          <w:tab w:val="left" w:pos="567"/>
        </w:tabs>
        <w:spacing w:after="120" w:line="276"/>
        <w:ind w:left="567" w:hanging="567"/>
        <w:jc w:val="both"/>
      </w:pPr>
      <w:r>
        <w:rPr>
          <w:rFonts w:ascii="Calibri" w:cs="Calibri" w:eastAsia="Calibri" w:hAnsi="Calibri"/>
          <w:sz w:val="22"/>
          <w:szCs w:val="22"/>
        </w:rPr>
        <w:t xml:space="preserve">D8.	</w:t>
      </w:r>
      <w:r>
        <w:rPr>
          <w:rFonts w:ascii="Calibri" w:cs="Calibri" w:eastAsia="Calibri" w:hAnsi="Calibri"/>
          <w:b/>
          <w:bCs/>
          <w:sz w:val="22"/>
          <w:szCs w:val="22"/>
        </w:rPr>
        <w:t xml:space="preserve">Applicants' SFICs and evidence. </w:t>
      </w:r>
      <w:r>
        <w:rPr>
          <w:rFonts w:ascii="Calibri" w:cs="Calibri" w:eastAsia="Calibri" w:hAnsi="Calibri"/>
          <w:sz w:val="22"/>
          <w:szCs w:val="22"/>
        </w:rPr>
        <w:t xml:space="preserve">Each applicant file and serve an updated SFIC and any evidence on which that applicant elects to rely within 28 days after service of the statement under direction D6.</w:t>
      </w:r>
    </w:p>
    <w:p>
      <w:pPr>
        <w:tabs>
          <w:tab w:val="left" w:pos="567"/>
        </w:tabs>
        <w:spacing w:after="120" w:line="276"/>
        <w:ind w:left="567" w:hanging="567"/>
        <w:jc w:val="both"/>
      </w:pPr>
      <w:r>
        <w:rPr>
          <w:rFonts w:ascii="Calibri" w:cs="Calibri" w:eastAsia="Calibri" w:hAnsi="Calibri"/>
          <w:sz w:val="22"/>
          <w:szCs w:val="22"/>
        </w:rPr>
        <w:t xml:space="preserve">D9.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any further evidence within 28 days after direction D8.</w:t>
      </w:r>
    </w:p>
    <w:p>
      <w:pPr>
        <w:tabs>
          <w:tab w:val="left" w:pos="567"/>
        </w:tabs>
        <w:spacing w:after="120" w:line="276"/>
        <w:ind w:left="567" w:hanging="567"/>
        <w:jc w:val="both"/>
      </w:pPr>
      <w:r>
        <w:rPr>
          <w:rFonts w:ascii="Calibri" w:cs="Calibri" w:eastAsia="Calibri" w:hAnsi="Calibri"/>
          <w:sz w:val="22"/>
          <w:szCs w:val="22"/>
        </w:rPr>
        <w:t xml:space="preserve">D10.	</w:t>
      </w:r>
      <w:r>
        <w:rPr>
          <w:rFonts w:ascii="Calibri" w:cs="Calibri" w:eastAsia="Calibri" w:hAnsi="Calibri"/>
          <w:b/>
          <w:bCs/>
          <w:sz w:val="22"/>
          <w:szCs w:val="22"/>
        </w:rPr>
        <w:t xml:space="preserve">Reply. </w:t>
      </w:r>
      <w:r>
        <w:rPr>
          <w:rFonts w:ascii="Calibri" w:cs="Calibri" w:eastAsia="Calibri" w:hAnsi="Calibri"/>
          <w:sz w:val="22"/>
          <w:szCs w:val="22"/>
        </w:rPr>
        <w:t xml:space="preserve">Any applicant file and serve any reply within 14 days after direction D9.</w:t>
      </w:r>
    </w:p>
    <w:p>
      <w:pPr>
        <w:tabs>
          <w:tab w:val="left" w:pos="567"/>
        </w:tabs>
        <w:spacing w:after="120" w:line="276"/>
        <w:ind w:left="567" w:hanging="567"/>
        <w:jc w:val="both"/>
      </w:pPr>
      <w:r>
        <w:rPr>
          <w:rFonts w:ascii="Calibri" w:cs="Calibri" w:eastAsia="Calibri" w:hAnsi="Calibri"/>
          <w:sz w:val="22"/>
          <w:szCs w:val="22"/>
        </w:rPr>
        <w:t xml:space="preserve">D11.	</w:t>
      </w:r>
      <w:r>
        <w:rPr>
          <w:rFonts w:ascii="Calibri" w:cs="Calibri" w:eastAsia="Calibri" w:hAnsi="Calibri"/>
          <w:b/>
          <w:bCs/>
          <w:sz w:val="22"/>
          <w:szCs w:val="22"/>
        </w:rPr>
        <w:t xml:space="preserve">Cross-examination. </w:t>
      </w:r>
      <w:r>
        <w:rPr>
          <w:rFonts w:ascii="Calibri" w:cs="Calibri" w:eastAsia="Calibri" w:hAnsi="Calibri"/>
          <w:sz w:val="22"/>
          <w:szCs w:val="22"/>
        </w:rPr>
        <w:t xml:space="preserve">Within 14 days after direction D9, any applicant may serve a notice identifying each statement-maker whose attendance is sought for cross-examination and the reasons, without limiting the matters on which that person may be cross-examined. Any dispute, and any protective arrangements for participants, be determined at a case event.</w:t>
      </w:r>
    </w:p>
    <w:p>
      <w:pPr>
        <w:tabs>
          <w:tab w:val="left" w:pos="567"/>
        </w:tabs>
        <w:spacing w:after="120" w:line="276"/>
        <w:ind w:left="567" w:hanging="567"/>
        <w:jc w:val="both"/>
      </w:pPr>
      <w:r>
        <w:rPr>
          <w:rFonts w:ascii="Calibri" w:cs="Calibri" w:eastAsia="Calibri" w:hAnsi="Calibri"/>
          <w:sz w:val="22"/>
          <w:szCs w:val="22"/>
        </w:rPr>
        <w:t xml:space="preserve">D12.	</w:t>
      </w:r>
      <w:r>
        <w:rPr>
          <w:rFonts w:ascii="Calibri" w:cs="Calibri" w:eastAsia="Calibri" w:hAnsi="Calibri"/>
          <w:b/>
          <w:bCs/>
          <w:sz w:val="22"/>
          <w:szCs w:val="22"/>
        </w:rPr>
        <w:t xml:space="preserve">Listing. </w:t>
      </w:r>
      <w:r>
        <w:rPr>
          <w:rFonts w:ascii="Calibri" w:cs="Calibri" w:eastAsia="Calibri" w:hAnsi="Calibri"/>
          <w:sz w:val="22"/>
          <w:szCs w:val="22"/>
        </w:rPr>
        <w:t xml:space="preserve">The matters be listed for final hearing on the first available date after direction D10. The hearing estimate be fixed at a short case event after direction D11, taking account of witnesses and interpreter arrangements.</w:t>
      </w:r>
    </w:p>
    <w:p>
      <w:pPr>
        <w:tabs>
          <w:tab w:val="left" w:pos="567"/>
        </w:tabs>
        <w:spacing w:after="120" w:line="276"/>
        <w:ind w:left="567" w:hanging="567"/>
        <w:jc w:val="both"/>
      </w:pPr>
      <w:r>
        <w:rPr>
          <w:rFonts w:ascii="Calibri" w:cs="Calibri" w:eastAsia="Calibri" w:hAnsi="Calibri"/>
          <w:sz w:val="22"/>
          <w:szCs w:val="22"/>
        </w:rPr>
        <w:t xml:space="preserve">D13.	</w:t>
      </w:r>
      <w:r>
        <w:rPr>
          <w:rFonts w:ascii="Calibri" w:cs="Calibri" w:eastAsia="Calibri" w:hAnsi="Calibri"/>
          <w:b/>
          <w:bCs/>
          <w:sz w:val="22"/>
          <w:szCs w:val="22"/>
        </w:rPr>
        <w:t xml:space="preserve">Alternative sequence. </w:t>
      </w:r>
      <w:r>
        <w:rPr>
          <w:rFonts w:ascii="Calibri" w:cs="Calibri" w:eastAsia="Calibri" w:hAnsi="Calibri"/>
          <w:sz w:val="22"/>
          <w:szCs w:val="22"/>
        </w:rPr>
        <w:t xml:space="preserve">If the Tribunal prefers the sequence proposed by the Respondent, the applicants' SFICs be due 28 days after the later of service of the supplementary tender bundle and the determination of the section 70 application, and the Respondent's statement under direction D6 be filed and served no later than 14 days before that date.</w:t>
      </w:r>
    </w:p>
    <w:p>
      <w:pPr>
        <w:tabs>
          <w:tab w:val="left" w:pos="567"/>
        </w:tabs>
        <w:spacing w:after="120" w:line="276"/>
        <w:ind w:left="567" w:hanging="567"/>
        <w:jc w:val="both"/>
      </w:pPr>
      <w:r>
        <w:rPr>
          <w:rFonts w:ascii="Calibri" w:cs="Calibri" w:eastAsia="Calibri" w:hAnsi="Calibri"/>
          <w:sz w:val="22"/>
          <w:szCs w:val="22"/>
        </w:rPr>
        <w:t xml:space="preserve">D14.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The directions of 15 May 2024 (as varied on 17 June 2024), to the extent they remain in force, be vacated.</w:t>
      </w:r>
    </w:p>
    <w:p>
      <w:pPr>
        <w:tabs>
          <w:tab w:val="left" w:pos="567"/>
        </w:tabs>
        <w:spacing w:after="120" w:line="276"/>
        <w:ind w:left="567" w:hanging="567"/>
        <w:jc w:val="both"/>
      </w:pPr>
      <w:r>
        <w:rPr>
          <w:rFonts w:ascii="Calibri" w:cs="Calibri" w:eastAsia="Calibri" w:hAnsi="Calibri"/>
          <w:sz w:val="22"/>
          <w:szCs w:val="22"/>
        </w:rPr>
        <w:t xml:space="preserve">D15.	</w:t>
      </w:r>
      <w:r>
        <w:rPr>
          <w:rFonts w:ascii="Calibri" w:cs="Calibri" w:eastAsia="Calibri" w:hAnsi="Calibri"/>
          <w:b/>
          <w:bCs/>
          <w:sz w:val="22"/>
          <w:szCs w:val="22"/>
        </w:rPr>
        <w:t xml:space="preserve">Interpreter. </w:t>
      </w:r>
      <w:r>
        <w:rPr>
          <w:rFonts w:ascii="Calibri" w:cs="Calibri" w:eastAsia="Calibri" w:hAnsi="Calibri"/>
          <w:sz w:val="22"/>
          <w:szCs w:val="22"/>
        </w:rPr>
        <w:t xml:space="preserve">An interpreter in Farsi (Persian) be provided for the First Applicant's evidence and any cross-examination at the final hearing, and at any case event for which she requests one in advance.</w:t>
      </w:r>
    </w:p>
    <w:p>
      <w:pPr>
        <w:tabs>
          <w:tab w:val="left" w:pos="567"/>
        </w:tabs>
        <w:spacing w:after="120" w:line="276"/>
        <w:ind w:left="567" w:hanging="567"/>
        <w:jc w:val="both"/>
      </w:pPr>
      <w:r>
        <w:rPr>
          <w:rFonts w:ascii="Calibri" w:cs="Calibri" w:eastAsia="Calibri" w:hAnsi="Calibri"/>
          <w:sz w:val="22"/>
          <w:szCs w:val="22"/>
        </w:rPr>
        <w:t xml:space="preserve">D16.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Vida Reid</w:t>
      </w:r>
    </w:p>
    <w:p>
      <w:r>
        <w:rPr>
          <w:rFonts w:ascii="Calibri" w:cs="Calibri" w:eastAsia="Calibri" w:hAnsi="Calibri"/>
          <w:sz w:val="22"/>
          <w:szCs w:val="22"/>
        </w:rPr>
        <w:t xml:space="preserve">First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2026-09-26T17:02:00.336Z</dcterms:created>
  <dcterms:modified xsi:type="dcterms:W3CDTF">2026-09-26T17:02:00.336Z</dcterms:modified>
</cp:coreProperties>
</file>

<file path=docProps/custom.xml><?xml version="1.0" encoding="utf-8"?>
<Properties xmlns="http://schemas.openxmlformats.org/officeDocument/2006/custom-properties" xmlns:vt="http://schemas.openxmlformats.org/officeDocument/2006/docPropsVTypes"/>
</file>