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00000"/>
          <w:sz w:val="16"/>
          <w:szCs w:val="16"/>
        </w:rPr>
        <w:t xml:space="preserve">PRIVILEGED &amp; CONFIDENTIAL — PREPARED FOR THE PURPOSE OF LITIGATION</w:t>
      </w:r>
    </w:p>
    <w:p>
      <w:pPr>
        <w:spacing w:after="60"/>
      </w:pPr>
      <w:r>
        <w:rPr>
          <w:rFonts w:ascii="Calibri" w:cs="Calibri" w:eastAsia="Calibri" w:hAnsi="Calibri"/>
          <w:b/>
          <w:bCs/>
          <w:color w:val="1F3864"/>
          <w:sz w:val="34"/>
          <w:szCs w:val="34"/>
        </w:rPr>
        <w:t xml:space="preserve">Review Pack: Directions Responses, AGS/Tribunal Approach, Exposure</w:t>
      </w:r>
    </w:p>
    <w:p>
      <w:pPr>
        <w:spacing w:after="100" w:line="264"/>
      </w:pPr>
      <w:r>
        <w:rPr>
          <w:rFonts w:ascii="Calibri" w:cs="Calibri" w:eastAsia="Calibri" w:hAnsi="Calibri"/>
          <w:i/>
          <w:iCs/>
          <w:sz w:val="21"/>
          <w:szCs w:val="21"/>
        </w:rPr>
        <w:t xml:space="preserve">ART 2023/3361, 2023/3363, 2023/4494. 27 September 2026. Sources: 3 draft reviewers + 1 adversarial (AGS) reviewer; full Gmail sweep (202 threads, 365 messages); ART FOI 2026.1839 (Tribunal file notes, internal emails, orders); hearing transcripts (15 May 2024, 3 Oct 2024, 6 Jun 2025, Magistrates Court 23 Feb 2024); every AGS submission and letter 2023–2026; the Reids' own filings. Working files: review_workings folder.</w:t>
      </w:r>
    </w:p>
    <w:p>
      <w:pPr>
        <w:pStyle w:val="Heading1"/>
        <w:spacing w:after="120" w:before="240"/>
      </w:pPr>
      <w:r>
        <w:rPr>
          <w:rFonts w:ascii="Calibri" w:cs="Calibri" w:eastAsia="Calibri" w:hAnsi="Calibri"/>
          <w:b/>
          <w:bCs/>
          <w:color w:val="1F3864"/>
          <w:sz w:val="26"/>
          <w:szCs w:val="26"/>
        </w:rPr>
        <w:t xml:space="preserve">1. Bottom line</w:t>
      </w:r>
    </w:p>
    <w:p>
      <w:pPr>
        <w:pStyle w:val="ListParagraph"/>
        <w:numPr>
          <w:ilvl w:val="0"/>
          <w:numId w:val="2"/>
        </w:numPr>
        <w:spacing w:after="60" w:line="252"/>
      </w:pPr>
      <w:r>
        <w:rPr>
          <w:rFonts w:ascii="Calibri" w:cs="Calibri" w:eastAsia="Calibri" w:hAnsi="Calibri"/>
          <w:b/>
          <w:bCs/>
          <w:sz w:val="21"/>
          <w:szCs w:val="21"/>
        </w:rPr>
        <w:t xml:space="preserve">v4 had filing-critical errors; v5 fixes them. </w:t>
      </w:r>
      <w:r>
        <w:rPr>
          <w:rFonts w:ascii="Calibri" w:cs="Calibri" w:eastAsia="Calibri" w:hAnsi="Calibri"/>
          <w:sz w:val="21"/>
          <w:szCs w:val="21"/>
        </w:rPr>
        <w:t xml:space="preserve">Wrong decision date (it is dated 31 July 2026), wrong tender pages, Simon's para 4 misstated his own internal review, FFG argued under the wrong section and pointed at Hybrid (i.e. at Simon), and several sentences conceded things. All corrected in v5; every quotation re-checked against the source text.</w:t>
      </w:r>
    </w:p>
    <w:p>
      <w:pPr>
        <w:pStyle w:val="ListParagraph"/>
        <w:numPr>
          <w:ilvl w:val="0"/>
          <w:numId w:val="2"/>
        </w:numPr>
        <w:spacing w:after="60" w:line="252"/>
      </w:pPr>
      <w:r>
        <w:rPr>
          <w:rFonts w:ascii="Calibri" w:cs="Calibri" w:eastAsia="Calibri" w:hAnsi="Calibri"/>
          <w:b/>
          <w:bCs/>
          <w:sz w:val="21"/>
          <w:szCs w:val="21"/>
        </w:rPr>
        <w:t xml:space="preserve">AGS's plan: </w:t>
      </w:r>
      <w:r>
        <w:rPr>
          <w:rFonts w:ascii="Calibri" w:cs="Calibri" w:eastAsia="Calibri" w:hAnsi="Calibri"/>
          <w:sz w:val="21"/>
          <w:szCs w:val="21"/>
        </w:rPr>
        <w:t xml:space="preserve">a two-day paper hearing on the tender bundle, applicants to file first, and a record that the applicants caused the delay. They will cite your own former counsel agreeing to applicant-first (15 May 2024) and DP Mischin saying you could state your case from the T-documents.</w:t>
      </w:r>
    </w:p>
    <w:p>
      <w:pPr>
        <w:pStyle w:val="ListParagraph"/>
        <w:numPr>
          <w:ilvl w:val="0"/>
          <w:numId w:val="2"/>
        </w:numPr>
        <w:spacing w:after="60" w:line="252"/>
      </w:pPr>
      <w:r>
        <w:rPr>
          <w:rFonts w:ascii="Calibri" w:cs="Calibri" w:eastAsia="Calibri" w:hAnsi="Calibri"/>
          <w:b/>
          <w:bCs/>
          <w:sz w:val="21"/>
          <w:szCs w:val="21"/>
        </w:rPr>
        <w:t xml:space="preserve">The Tribunal's file is neutral </w:t>
      </w:r>
      <w:r>
        <w:rPr>
          <w:rFonts w:ascii="Calibri" w:cs="Calibri" w:eastAsia="Calibri" w:hAnsi="Calibri"/>
          <w:sz w:val="21"/>
          <w:szCs w:val="21"/>
        </w:rPr>
        <w:t xml:space="preserve">— no "vexatious", capacity or security labels. It records delay on both sides (including AGS's late T-documents and DP Mischin's 2023 criticism of the Respondent), and the Tribunal's own administrative errors. DP McMillan wants firm dates and one clear document per applicant; she lets AGS draft orders.</w:t>
      </w:r>
    </w:p>
    <w:p>
      <w:pPr>
        <w:pStyle w:val="ListParagraph"/>
        <w:numPr>
          <w:ilvl w:val="0"/>
          <w:numId w:val="2"/>
        </w:numPr>
        <w:spacing w:after="60" w:line="252"/>
      </w:pPr>
      <w:r>
        <w:rPr>
          <w:rFonts w:ascii="Calibri" w:cs="Calibri" w:eastAsia="Calibri" w:hAnsi="Calibri"/>
          <w:b/>
          <w:bCs/>
          <w:sz w:val="21"/>
          <w:szCs w:val="21"/>
        </w:rPr>
        <w:t xml:space="preserve">Your biggest exposures are self-inflicted: </w:t>
      </w:r>
      <w:r>
        <w:rPr>
          <w:rFonts w:ascii="Calibri" w:cs="Calibri" w:eastAsia="Calibri" w:hAnsi="Calibri"/>
          <w:sz w:val="21"/>
          <w:szCs w:val="21"/>
        </w:rPr>
        <w:t xml:space="preserve">invented quotations in earlier filings (Vida and Simon), each spouse's filings blaming the other, consents already given (joinder 2023; paper determination 2025–26), intemperate emails, and inconsistent accounts of the criminal discontinuance.</w:t>
      </w:r>
    </w:p>
    <w:p>
      <w:pPr>
        <w:pStyle w:val="ListParagraph"/>
        <w:numPr>
          <w:ilvl w:val="0"/>
          <w:numId w:val="2"/>
        </w:numPr>
        <w:spacing w:after="60" w:line="252"/>
      </w:pPr>
      <w:r>
        <w:rPr>
          <w:rFonts w:ascii="Calibri" w:cs="Calibri" w:eastAsia="Calibri" w:hAnsi="Calibri"/>
          <w:b/>
          <w:bCs/>
          <w:sz w:val="21"/>
          <w:szCs w:val="21"/>
        </w:rPr>
        <w:t xml:space="preserve">Stop now: </w:t>
      </w:r>
      <w:r>
        <w:rPr>
          <w:rFonts w:ascii="Calibri" w:cs="Calibri" w:eastAsia="Calibri" w:hAnsi="Calibri"/>
          <w:sz w:val="21"/>
          <w:szCs w:val="21"/>
        </w:rPr>
        <w:t xml:space="preserve">two of the "transcripts" in your files appear to be private recordings of Tribunal hearings, made after the Tribunal said hearings must not be recorded without permission. Do not quote, circulate or file them. Get legal advice.</w:t>
      </w:r>
    </w:p>
    <w:p>
      <w:pPr>
        <w:pStyle w:val="Heading1"/>
        <w:spacing w:after="120" w:before="240"/>
      </w:pPr>
      <w:r>
        <w:rPr>
          <w:rFonts w:ascii="Calibri" w:cs="Calibri" w:eastAsia="Calibri" w:hAnsi="Calibri"/>
          <w:b/>
          <w:bCs/>
          <w:color w:val="1F3864"/>
          <w:sz w:val="26"/>
          <w:szCs w:val="26"/>
        </w:rPr>
        <w:t xml:space="preserve">2. New levers found (verified)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23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Lever</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Exact words / source</w:t>
            </w:r>
          </w:p>
        </w:tc>
        <w:tc>
          <w:tcPr>
            <w:tcW w:type="dxa" w:w="23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Use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AGS promised to review and disclose the withheld 2023 documents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"anticipates regularly reviewing the documents ... with a view to disclosing them if and/or when, the grounds for this application fall away" (AGS submissions 12 Sep 2023 [23]); order 2 of 12 Sep 2023 made "by reason of current criminal proceedings and/or legal professional privilege"</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v5 direction D3 — criminal proceedings ended Feb 2024</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AGS promised an expedited timetable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"be happy to work on an expedited timetable ... when the current (and any reasonably possible) criminal proceedings are concluded" (AGS 2 Nov 2023 [23])</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v5 para 5(e)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AGS admitted Simon's documents were left out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"were not included in the previous tender bundle" (19 Mar 2026 [15]); bundle = "all documents required to be produced under section 23" ([18.1]); "inadvertently omitted" (7 May 2026)</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Answers AGS's "once ordered" line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Simon's ban period rests on processes nobody has identified</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IR [47]: period corresponds with "the current regulatory and legal processes that are in motion in relation to Mr Reid"; order "can be revisited". Simon never charged.</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v5 para 4 + direction D6(f)</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Vida's and FFG's ban periods tied to the criminal case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Vida IR [63]; FFG IR [73] ("can be revisited ... (or revoked entirely)"). Charges discontinued 23 Feb 2024; nothing revisited.</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v5 para 4 in both</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FFG's review still matters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AGS 13 Feb 2026: expired orders stay on the register "indefinitely"; s 108(4) substituted decision operates from the start</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FFG v5 para 5</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FFG order needed a "further or compelling reason"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FFG IR [37(a)]</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FFG direction D6(b)</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Claim totals come from the withheld intelligence report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EC22-002521 [3.3]: $1,707,683 "(Attachment J – p3)"</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Simon v5 para 10</w:t>
            </w:r>
          </w:p>
        </w:tc>
      </w:tr>
    </w:tbl>
    <w:p>
      <w:pPr>
        <w:pStyle w:val="Heading1"/>
        <w:spacing w:after="120" w:before="240"/>
      </w:pPr>
      <w:r>
        <w:rPr>
          <w:rFonts w:ascii="Calibri" w:cs="Calibri" w:eastAsia="Calibri" w:hAnsi="Calibri"/>
          <w:b/>
          <w:bCs/>
          <w:color w:val="1F3864"/>
          <w:sz w:val="26"/>
          <w:szCs w:val="26"/>
        </w:rPr>
        <w:t xml:space="preserve">3. What changed from v4 to v5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Issue</w:t>
            </w:r>
          </w:p>
        </w:tc>
        <w:tc>
          <w:tcPr>
            <w:tcW w:type="dxa" w:w="58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v5</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Decision date</w:t>
            </w:r>
          </w:p>
        </w:tc>
        <w:tc>
          <w:tcPr>
            <w:tcW w:type="dxa" w:w="5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31 July 2026 throughout (the date on its face)</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Tender pages</w:t>
            </w:r>
          </w:p>
        </w:tc>
        <w:tc>
          <w:tcPr>
            <w:tcW w:type="dxa" w:w="5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T6 p 142 (key personnel), T6 p 141 ("mere fact"), T9.4 p 178, EC22-002000 [4] p 159</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Simon para 4</w:t>
            </w:r>
          </w:p>
        </w:tc>
        <w:tc>
          <w:tcPr>
            <w:tcW w:type="dxa" w:w="5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Now quotes his own IR [47] correctly; notes the decision's [10] error (his order runs to 22 Dec 2027, not 2025)</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Criminal outcome</w:t>
            </w:r>
          </w:p>
        </w:tc>
        <w:tc>
          <w:tcPr>
            <w:tcW w:type="dxa" w:w="5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"before any evidence had been adduced ... discontinued ... dismissed for want of prosecution" — no suggestion of vindication</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"Accepts the decision"</w:t>
            </w:r>
          </w:p>
        </w:tc>
        <w:tc>
          <w:tcPr>
            <w:tcW w:type="dxa" w:w="5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"notes ... and will proceed in accordance with it"; Vida: does not adopt [33]–[39], maintains her [24](c) question</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"The Respondent must establish"</w:t>
            </w:r>
          </w:p>
        </w:tc>
        <w:tc>
          <w:tcPr>
            <w:tcW w:type="dxa" w:w="5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"the Tribunal would need to be satisfied, on cogent evidence" (no onus in merits review)</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"for any claim" overstatement</w:t>
            </w:r>
          </w:p>
        </w:tc>
        <w:tc>
          <w:tcPr>
            <w:tcW w:type="dxa" w:w="5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Replaced with the Attachment J point</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Confining AGS's case (D7)</w:t>
            </w:r>
          </w:p>
        </w:tc>
        <w:tc>
          <w:tcPr>
            <w:tcW w:type="dxa" w:w="5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Now a notice-and-respond mechanism</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Sequence</w:t>
            </w:r>
          </w:p>
        </w:tc>
        <w:tc>
          <w:tcPr>
            <w:tcW w:type="dxa" w:w="5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Particulars first; plus an alternative (D13) if the Tribunal prefers AGS's order; shorter time frames</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Documents request</w:t>
            </w:r>
          </w:p>
        </w:tc>
        <w:tc>
          <w:tcPr>
            <w:tcW w:type="dxa" w:w="5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Simon: only B, P, Q (EC22-002103) + P (EC22-002521); dropped the list of his other companies. All: the 2023 withheld bundle (D3)</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"Administrative errors" quote</w:t>
            </w:r>
          </w:p>
        </w:tc>
        <w:tc>
          <w:tcPr>
            <w:tcW w:type="dxa" w:w="5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Removed from the procedural filings — keep for the SFIC/hearing, where it can be paired with evidence (in a procedural document it invites AGS to quote the next paragraph about a "retaliatory response")</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FFG</w:t>
            </w:r>
          </w:p>
        </w:tc>
        <w:tc>
          <w:tcPr>
            <w:tcW w:type="dxa" w:w="5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Correct section (s 73ZN(1)(a)); removed "as distinct from Hybrid", "bear on its directors", "what utility", [38](c); utility stated positively</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Vida</w:t>
            </w:r>
          </w:p>
        </w:tc>
        <w:tc>
          <w:tcPr>
            <w:tcW w:type="dxa" w:w="5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Removed key-personnel policy quote (her IR already applied it against her) and the "office held" test; privilege paragraph re-worded to match [39](i); interpreter narrowed</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Khalil / Practice Direction</w:t>
            </w:r>
          </w:p>
        </w:tc>
        <w:tc>
          <w:tcPr>
            <w:tcW w:type="dxa" w:w="5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Removed (citation risk); AGS simply asked whether it relies on the 2026 amendments</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Drafting slips</w:t>
            </w:r>
          </w:p>
        </w:tc>
        <w:tc>
          <w:tcPr>
            <w:tcW w:type="dxa" w:w="5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"He asks" in Vida's/FFG's, numbering gaps, 5(a)/5(d) inaccuracies — fixed</w:t>
            </w:r>
          </w:p>
        </w:tc>
      </w:tr>
      <w:tr>
        <w:trPr>
          <w:tblHeader w:val="false"/>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Covering email</w:t>
            </w:r>
          </w:p>
        </w:tc>
        <w:tc>
          <w:tcPr>
            <w:tcW w:type="dxa" w:w="58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Two separate emails; Vida files her own</w:t>
            </w:r>
          </w:p>
        </w:tc>
      </w:tr>
    </w:tbl>
    <w:p>
      <w:pPr>
        <w:pStyle w:val="Heading1"/>
        <w:spacing w:after="120" w:before="240"/>
      </w:pPr>
      <w:r>
        <w:rPr>
          <w:rFonts w:ascii="Calibri" w:cs="Calibri" w:eastAsia="Calibri" w:hAnsi="Calibri"/>
          <w:b/>
          <w:bCs/>
          <w:color w:val="1F3864"/>
          <w:sz w:val="26"/>
          <w:szCs w:val="26"/>
        </w:rPr>
        <w:t xml:space="preserve">4. How AGS is approaching you</w:t>
      </w:r>
    </w:p>
    <w:p>
      <w:pPr>
        <w:pStyle w:val="ListParagraph"/>
        <w:numPr>
          <w:ilvl w:val="0"/>
          <w:numId w:val="2"/>
        </w:numPr>
        <w:spacing w:after="60" w:line="252"/>
      </w:pPr>
      <w:r>
        <w:rPr>
          <w:rFonts w:ascii="Calibri" w:cs="Calibri" w:eastAsia="Calibri" w:hAnsi="Calibri"/>
          <w:sz w:val="21"/>
          <w:szCs w:val="21"/>
        </w:rPr>
        <w:t xml:space="preserve">Paper hearing on the tender bundle; two-day estimate; no witness step. But AGS itself has relied on witnesses (15 May 2024; 17 Sep 2025) and the Tribunal refused severance partly so participants would not give evidence twice ([39](e)).</w:t>
      </w:r>
    </w:p>
    <w:p>
      <w:pPr>
        <w:pStyle w:val="ListParagraph"/>
        <w:numPr>
          <w:ilvl w:val="0"/>
          <w:numId w:val="2"/>
        </w:numPr>
        <w:spacing w:after="60" w:line="252"/>
      </w:pPr>
      <w:r>
        <w:rPr>
          <w:rFonts w:ascii="Calibri" w:cs="Calibri" w:eastAsia="Calibri" w:hAnsi="Calibri"/>
          <w:sz w:val="21"/>
          <w:szCs w:val="21"/>
        </w:rPr>
        <w:t xml:space="preserve">Applicants first. Your then counsel agreed to that order on 15 May 2024 ("Yes, we agree with Mr Oliver's proposal"); DP Mischin said the applicants could state their case from the T-documents. v5 answers this with the particulars-first request plus the D13 alternative.</w:t>
      </w:r>
    </w:p>
    <w:p>
      <w:pPr>
        <w:pStyle w:val="ListParagraph"/>
        <w:numPr>
          <w:ilvl w:val="0"/>
          <w:numId w:val="2"/>
        </w:numPr>
        <w:spacing w:after="60" w:line="252"/>
      </w:pPr>
      <w:r>
        <w:rPr>
          <w:rFonts w:ascii="Calibri" w:cs="Calibri" w:eastAsia="Calibri" w:hAnsi="Calibri"/>
          <w:sz w:val="21"/>
          <w:szCs w:val="21"/>
        </w:rPr>
        <w:t xml:space="preserve">Delay narrative against you: decision [30] blames "several interlocutory applications made by Mrs Reid"; the 3 Oct 2024 hearing recorded that no applicant evidence had been filed; Vida missed 13 Dec 2024 and 27 Jun 2025 deadlines.</w:t>
      </w:r>
    </w:p>
    <w:p>
      <w:pPr>
        <w:pStyle w:val="ListParagraph"/>
        <w:numPr>
          <w:ilvl w:val="0"/>
          <w:numId w:val="2"/>
        </w:numPr>
        <w:spacing w:after="60" w:line="252"/>
      </w:pPr>
      <w:r>
        <w:rPr>
          <w:rFonts w:ascii="Calibri" w:cs="Calibri" w:eastAsia="Calibri" w:hAnsi="Calibri"/>
          <w:sz w:val="21"/>
          <w:szCs w:val="21"/>
        </w:rPr>
        <w:t xml:space="preserve">On Vida: AGS indicated at the 6 June 2025 hearing that if she does not give evidence it would seek adverse (Jones v Dunkel) inferences, which could also harm Simon (source: unofficial recording only — confirm from the official transcript before relying on it). At the 23 Feb 2024 discontinuance the Magistrate referred to "an intention to recharge", and the prosecutor cited "legal professional privilege claims outstanding that the accused has made".</w:t>
      </w:r>
    </w:p>
    <w:p>
      <w:pPr>
        <w:pStyle w:val="ListParagraph"/>
        <w:numPr>
          <w:ilvl w:val="0"/>
          <w:numId w:val="2"/>
        </w:numPr>
        <w:spacing w:after="60" w:line="252"/>
      </w:pPr>
      <w:r>
        <w:rPr>
          <w:rFonts w:ascii="Calibri" w:cs="Calibri" w:eastAsia="Calibri" w:hAnsi="Calibri"/>
          <w:sz w:val="21"/>
          <w:szCs w:val="21"/>
        </w:rPr>
        <w:t xml:space="preserve">On Simon: Hybrid director "17 February 2022 to date" (AGS 17 Sep 2025 [54.2], unsourced — the SoMF says Vida was Hybrid's sole director; get the ASIC extract); Dream Big and Vitality; "declined" NDIA interview.</w:t>
      </w:r>
    </w:p>
    <w:p>
      <w:pPr>
        <w:pStyle w:val="ListParagraph"/>
        <w:numPr>
          <w:ilvl w:val="0"/>
          <w:numId w:val="2"/>
        </w:numPr>
        <w:spacing w:after="60" w:line="252"/>
      </w:pPr>
      <w:r>
        <w:rPr>
          <w:rFonts w:ascii="Calibri" w:cs="Calibri" w:eastAsia="Calibri" w:hAnsi="Calibri"/>
          <w:sz w:val="21"/>
          <w:szCs w:val="21"/>
        </w:rPr>
        <w:t xml:space="preserve">Promises not kept: supplementary bundle (proposed 10 Apr, then 28 Aug 2026 — not served); review of the 2023 withheld documents; Respondent's SFIC (due 2024, never filed).</w:t>
      </w:r>
    </w:p>
    <w:p>
      <w:pPr>
        <w:pStyle w:val="Heading1"/>
        <w:spacing w:after="120" w:before="240"/>
      </w:pPr>
      <w:r>
        <w:rPr>
          <w:rFonts w:ascii="Calibri" w:cs="Calibri" w:eastAsia="Calibri" w:hAnsi="Calibri"/>
          <w:b/>
          <w:bCs/>
          <w:color w:val="1F3864"/>
          <w:sz w:val="26"/>
          <w:szCs w:val="26"/>
        </w:rPr>
        <w:t xml:space="preserve">5. Exposure — what can be quoted against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27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Exposure</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What was said</w:t>
            </w:r>
          </w:p>
        </w:tc>
        <w:tc>
          <w:tcPr>
            <w:tcW w:type="dxa" w:w="27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Handling</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Invented quotations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Vida (2 Apr 2025, re-filed 16 Aug 2025) quoted her IR as saying the Commission "would be prepared to reconsider" if charges dropped — not in the IR. Vida (5 documents) attributed a "must exercise care ..." sentence to AGS [12] — no such sentence. Simon (25 Mar 2025) "quoted" IR [46] inaccurately.</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v5 quotes the genuine IR text, quietly correcting it. Never repeat. Concede if raised.</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Common factual matrix</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Decision [39](h): Simon "takes no issue" with (b)–(g); 19 Jul 2023 counsel: "No objection to the matters being linked"; Simon's severance subs [16]: "accepts that several witnesses are common"</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Don't reopen severance; argue individual findings within the joint hearing</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Paper determination</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Simon 7 Nov 2025: "generally supportive of the matter proceeding primarily on the papers"; 19 Mar 2026 consent to severance on the papers</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Don't agree to papers again for anything contested</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Spouses blaming each other</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Vida 16 Aug 2025: Simon's case is about "his ongoing involvement as the current director"; Vida 23 Sep 2025: Simon's order "stem[s] from separate incidents"</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One consistent account in both SFICs; no filing points at the other</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Criminal exposure (Vida)</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Vida 16 Aug 2025: "new charges could be considered"; Simon to politicians 3 Apr 2025: "there must obviously be some improper use of NDIS funds"</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Never repeat; Vida's evidence strategy only with legal advice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"Not received" the banning order</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Vida 23 Sep 2025 — contradicted by Tom &amp; Co's own letters (Simon received his notice 18 Nov 2022)</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Drop the point entirely</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Dream Big</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Vida's own affidavit links Virginie to Dream Big</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Say nothing further without advice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Attacks on the member / AGS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Vida 16 Aug 2025 called the 6 Jun 2025 hearing "a calculative joint move by the ART and the respondent"; AGS lawyer a "dishonest person"</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Never again; DP McMillan decides the case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Wrong citations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"Hutchinson v AEC [2023] FCA 331" (actually another case); Mann v Carnell page wrong; Johnson v Johnson misused</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Verified citations only</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Living overseas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Simon 5 Sep 2025: "I do not currently reside in Australia"</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Answer plainly if asked; don't volunteer</w:t>
            </w:r>
          </w:p>
        </w:tc>
      </w:tr>
    </w:tbl>
    <w:p>
      <w:pPr>
        <w:pStyle w:val="Heading2"/>
        <w:spacing w:after="80" w:before="180"/>
      </w:pPr>
      <w:r>
        <w:rPr>
          <w:rFonts w:ascii="Calibri" w:cs="Calibri" w:eastAsia="Calibri" w:hAnsi="Calibri"/>
          <w:b/>
          <w:bCs/>
          <w:sz w:val="22"/>
          <w:szCs w:val="22"/>
        </w:rPr>
        <w:t xml:space="preserve">Lines never to use again</w:t>
      </w:r>
    </w:p>
    <w:p>
      <w:pPr>
        <w:pStyle w:val="ListParagraph"/>
        <w:numPr>
          <w:ilvl w:val="0"/>
          <w:numId w:val="2"/>
        </w:numPr>
        <w:spacing w:after="60" w:line="252"/>
      </w:pPr>
      <w:r>
        <w:rPr>
          <w:rFonts w:ascii="Calibri" w:cs="Calibri" w:eastAsia="Calibri" w:hAnsi="Calibri"/>
          <w:sz w:val="21"/>
          <w:szCs w:val="21"/>
        </w:rPr>
        <w:t xml:space="preserve">Any quotation not checked word for word against its source.</w:t>
      </w:r>
    </w:p>
    <w:p>
      <w:pPr>
        <w:pStyle w:val="ListParagraph"/>
        <w:numPr>
          <w:ilvl w:val="0"/>
          <w:numId w:val="2"/>
        </w:numPr>
        <w:spacing w:after="60" w:line="252"/>
      </w:pPr>
      <w:r>
        <w:rPr>
          <w:rFonts w:ascii="Calibri" w:cs="Calibri" w:eastAsia="Calibri" w:hAnsi="Calibri"/>
          <w:sz w:val="21"/>
          <w:szCs w:val="21"/>
        </w:rPr>
        <w:t xml:space="preserve">Any description of the discontinuance other than "discontinued before any evidence was adduced; dismissed for want of prosecution".</w:t>
      </w:r>
    </w:p>
    <w:p>
      <w:pPr>
        <w:pStyle w:val="ListParagraph"/>
        <w:numPr>
          <w:ilvl w:val="0"/>
          <w:numId w:val="2"/>
        </w:numPr>
        <w:spacing w:after="60" w:line="252"/>
      </w:pPr>
      <w:r>
        <w:rPr>
          <w:rFonts w:ascii="Calibri" w:cs="Calibri" w:eastAsia="Calibri" w:hAnsi="Calibri"/>
          <w:sz w:val="21"/>
          <w:szCs w:val="21"/>
        </w:rPr>
        <w:t xml:space="preserve">"Co-Director", "current listed Director", "her company", "now-moot", "primarily on the papers", "unique to her case", "not received by us at all", "improper use of NDIS funds", "new charges could be considered".</w:t>
      </w:r>
    </w:p>
    <w:p>
      <w:pPr>
        <w:pStyle w:val="ListParagraph"/>
        <w:numPr>
          <w:ilvl w:val="0"/>
          <w:numId w:val="2"/>
        </w:numPr>
        <w:spacing w:after="60" w:line="252"/>
      </w:pPr>
      <w:r>
        <w:rPr>
          <w:rFonts w:ascii="Calibri" w:cs="Calibri" w:eastAsia="Calibri" w:hAnsi="Calibri"/>
          <w:sz w:val="21"/>
          <w:szCs w:val="21"/>
        </w:rPr>
        <w:t xml:space="preserve">Anything personal about the member, AGS lawyers or Commission staff.</w:t>
      </w:r>
    </w:p>
    <w:p>
      <w:pPr>
        <w:pStyle w:val="Heading1"/>
        <w:spacing w:after="120" w:before="240"/>
      </w:pPr>
      <w:r>
        <w:rPr>
          <w:rFonts w:ascii="Calibri" w:cs="Calibri" w:eastAsia="Calibri" w:hAnsi="Calibri"/>
          <w:b/>
          <w:bCs/>
          <w:color w:val="1F3864"/>
          <w:sz w:val="26"/>
          <w:szCs w:val="26"/>
        </w:rPr>
        <w:t xml:space="preserve">6. How to handle the next directions hearing</w:t>
      </w:r>
    </w:p>
    <w:p>
      <w:pPr>
        <w:pStyle w:val="ListParagraph"/>
        <w:numPr>
          <w:ilvl w:val="0"/>
          <w:numId w:val="2"/>
        </w:numPr>
        <w:spacing w:after="60" w:line="252"/>
      </w:pPr>
      <w:r>
        <w:rPr>
          <w:rFonts w:ascii="Calibri" w:cs="Calibri" w:eastAsia="Calibri" w:hAnsi="Calibri"/>
          <w:sz w:val="21"/>
          <w:szCs w:val="21"/>
        </w:rPr>
        <w:t xml:space="preserve">Hand up one short minute per applicant (v5). Lead with common ground: AGS itself suggested the s 70 application be dealt with at the directions hearing; its own minute puts the bundle first.</w:t>
      </w:r>
    </w:p>
    <w:p>
      <w:pPr>
        <w:pStyle w:val="ListParagraph"/>
        <w:numPr>
          <w:ilvl w:val="0"/>
          <w:numId w:val="2"/>
        </w:numPr>
        <w:spacing w:after="60" w:line="252"/>
      </w:pPr>
      <w:r>
        <w:rPr>
          <w:rFonts w:ascii="Calibri" w:cs="Calibri" w:eastAsia="Calibri" w:hAnsi="Calibri"/>
          <w:sz w:val="21"/>
          <w:szCs w:val="21"/>
        </w:rPr>
        <w:t xml:space="preserve">Don't relitigate severance, the stay or the privacy complaint. Give a neutral one-line account of delay, then push for firm dates before December 2027.</w:t>
      </w:r>
    </w:p>
    <w:p>
      <w:pPr>
        <w:pStyle w:val="ListParagraph"/>
        <w:numPr>
          <w:ilvl w:val="0"/>
          <w:numId w:val="2"/>
        </w:numPr>
        <w:spacing w:after="60" w:line="252"/>
      </w:pPr>
      <w:r>
        <w:rPr>
          <w:rFonts w:ascii="Calibri" w:cs="Calibri" w:eastAsia="Calibri" w:hAnsi="Calibri"/>
          <w:sz w:val="21"/>
          <w:szCs w:val="21"/>
        </w:rPr>
        <w:t xml:space="preserve">Use [39](e) for witnesses; offer protective arrangements for participants who allege intimidation.</w:t>
      </w:r>
    </w:p>
    <w:p>
      <w:pPr>
        <w:pStyle w:val="ListParagraph"/>
        <w:numPr>
          <w:ilvl w:val="0"/>
          <w:numId w:val="2"/>
        </w:numPr>
        <w:spacing w:after="60" w:line="252"/>
      </w:pPr>
      <w:r>
        <w:rPr>
          <w:rFonts w:ascii="Calibri" w:cs="Calibri" w:eastAsia="Calibri" w:hAnsi="Calibri"/>
          <w:sz w:val="21"/>
          <w:szCs w:val="21"/>
        </w:rPr>
        <w:t xml:space="preserve">Answer personal and logistical questions plainly. Ask for a Teams link in advance.</w:t>
      </w:r>
    </w:p>
    <w:p>
      <w:pPr>
        <w:pStyle w:val="ListParagraph"/>
        <w:numPr>
          <w:ilvl w:val="0"/>
          <w:numId w:val="2"/>
        </w:numPr>
        <w:spacing w:after="60" w:line="252"/>
      </w:pPr>
      <w:r>
        <w:rPr>
          <w:rFonts w:ascii="Calibri" w:cs="Calibri" w:eastAsia="Calibri" w:hAnsi="Calibri"/>
          <w:sz w:val="21"/>
          <w:szCs w:val="21"/>
        </w:rPr>
        <w:t xml:space="preserve">Comply with every deadline — every direction carries a dismissal warning, and FFG is the most exposed.</w:t>
      </w:r>
    </w:p>
    <w:p>
      <w:pPr>
        <w:pStyle w:val="Heading1"/>
        <w:spacing w:after="120" w:before="240"/>
      </w:pPr>
      <w:r>
        <w:rPr>
          <w:rFonts w:ascii="Calibri" w:cs="Calibri" w:eastAsia="Calibri" w:hAnsi="Calibri"/>
          <w:b/>
          <w:bCs/>
          <w:color w:val="1F3864"/>
          <w:sz w:val="26"/>
          <w:szCs w:val="26"/>
        </w:rPr>
        <w:t xml:space="preserve">7. Actions and deadlines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1800"/>
        <w:gridCol w:w="2626"/>
      </w:tblGrid>
      <w:tr>
        <w:trPr>
          <w:tblHeader/>
        </w:trPr>
        <w:tc>
          <w:tcPr>
            <w:tcW w:type="dxa" w:w="4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Action</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When</w:t>
            </w:r>
          </w:p>
        </w:tc>
        <w:tc>
          <w:tcPr>
            <w:tcW w:type="dxa" w:w="26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Who</w:t>
            </w:r>
          </w:p>
        </w:tc>
      </w:tr>
      <w:tr>
        <w:trPr>
          <w:tblHeader w:val="false"/>
        </w:trP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Stop using / circulating the private hearing recordings; take legal advice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Now</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Simon, Vida</w:t>
            </w:r>
          </w:p>
        </w:tc>
      </w:tr>
      <w:tr>
        <w:trPr>
          <w:tblHeader w:val="false"/>
        </w:trP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Vida reads, approves and signs her own v5; each files separately</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Before filing</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Vida / Simon</w:t>
            </w:r>
          </w:p>
        </w:tc>
      </w:tr>
      <w:tr>
        <w:trPr>
          <w:tblHeader w:val="false"/>
        </w:trP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ASIC extracts: FFG status (strike-off risk) and Hybrid directorship history</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Same day as filing</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Simon</w:t>
            </w:r>
          </w:p>
        </w:tc>
      </w:tr>
      <w:tr>
        <w:trPr>
          <w:tblHeader w:val="false"/>
        </w:trP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Check Vida's inbox and the ART portal for any Tribunal email since 31 Jul 2026</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Before filing</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Vida</w:t>
            </w:r>
          </w:p>
        </w:tc>
      </w:tr>
      <w:tr>
        <w:trPr>
          <w:tblHeader w:val="false"/>
        </w:trP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ART FOI 2026.1839 was incomplete (Oct 2025–Jan 2026 Tribunal–AGS emails missing; listings report short). Information Commissioner review must be lodged within 60 days of 14 Aug 2026 — about 13 Oct 2026. The applicant was Vida.</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By ~13 Oct 2026</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Vida</w:t>
            </w:r>
          </w:p>
        </w:tc>
      </w:tr>
      <w:tr>
        <w:trPr>
          <w:tblHeader w:val="false"/>
        </w:trP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Check the filed version of Simon's July 2024 SFIC for any statement about Vida and Dream Big</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Before SFIC</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Simon</w:t>
            </w:r>
          </w:p>
        </w:tc>
      </w:tr>
      <w:tr>
        <w:trPr>
          <w:tblHeader w:val="false"/>
        </w:trP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Confirm every file in the iManage disclosure folder was downloaded (password reset 24 Sep 2026)</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This week</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Simon</w:t>
            </w:r>
          </w:p>
        </w:tc>
      </w:tr>
      <w:tr>
        <w:trPr>
          <w:tblHeader w:val="false"/>
        </w:trP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Vida: legal advice on whether and how she gives evidence (adverse-inference risk; re-charge risk)</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Before SFIC</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Vida</w:t>
            </w:r>
          </w:p>
        </w:tc>
      </w:tr>
      <w:tr>
        <w:trPr>
          <w:tblHeader w:val="false"/>
        </w:trPr>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If anything said at the 3 Oct 2024 or 6 Jun 2025 hearings is needed, request the official transcript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As needed</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Either</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2026-09-26T17:04:32.894Z</dcterms:created>
  <dcterms:modified xsi:type="dcterms:W3CDTF">2026-09-26T17:04:32.894Z</dcterms:modified>
</cp:coreProperties>
</file>

<file path=docProps/custom.xml><?xml version="1.0" encoding="utf-8"?>
<Properties xmlns="http://schemas.openxmlformats.org/officeDocument/2006/custom-properties" xmlns:vt="http://schemas.openxmlformats.org/officeDocument/2006/docPropsVTypes"/>
</file>