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4"/>
          <w:szCs w:val="24"/>
        </w:rPr>
        <w:t xml:space="preserve">ADMINISTRATIVE REVIEW TRIBUNAL</w:t>
      </w:r>
    </w:p>
    <w:p>
      <w:pPr>
        <w:spacing w:after="240"/>
        <w:jc w:val="center"/>
      </w:pPr>
      <w:r>
        <w:rPr>
          <w:rFonts w:ascii="Calibri" w:cs="Calibri" w:eastAsia="Calibri" w:hAnsi="Calibri"/>
          <w:sz w:val="22"/>
          <w:szCs w:val="22"/>
        </w:rPr>
        <w:t xml:space="preserve">BRISBANE REGISTRY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Tribunal Numbers:</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2023/3361, 2023/3363 and 2023/4494</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First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VIDA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Second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SIMON REID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Third Applicant: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FORWARD FOCUSED GROUP PTY LTD</w:t>
            </w:r>
          </w:p>
        </w:tc>
      </w:tr>
      <w:tr>
        <w:tc>
          <w:tcPr>
            <w:tcW w:type="dxa" w:w="2800"/>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sz w:val="22"/>
                <w:szCs w:val="22"/>
              </w:rPr>
              <w:t xml:space="preserve">Respondent:</w:t>
            </w:r>
          </w:p>
        </w:tc>
        <w:tc>
          <w:tcPr>
            <w:tcW w:type="dxa" w:w="6226"/>
            <w:tcBorders>
              <w:top w:val="none" w:color="FFFFFF" w:sz="0"/>
              <w:left w:val="none" w:color="FFFFFF" w:sz="0"/>
              <w:bottom w:val="none" w:color="FFFFFF" w:sz="0"/>
              <w:right w:val="none" w:color="FFFFFF" w:sz="0"/>
            </w:tcBorders>
          </w:tcPr>
          <w:p>
            <w:pPr>
              <w:spacing w:after="120" w:line="276"/>
              <w:jc w:val="left"/>
            </w:pPr>
            <w:r>
              <w:rPr>
                <w:rFonts w:ascii="Calibri" w:cs="Calibri" w:eastAsia="Calibri" w:hAnsi="Calibri"/>
                <w:b/>
                <w:bCs/>
                <w:sz w:val="22"/>
                <w:szCs w:val="22"/>
              </w:rPr>
              <w:t xml:space="preserve">COMMISSIONER OF THE NDIS QUALITY AND SAFEGUARDS COMMISSION</w:t>
            </w:r>
          </w:p>
        </w:tc>
      </w:tr>
    </w:tbl>
    <w:p>
      <w:pPr>
        <w:spacing w:before="240"/>
        <w:jc w:val="center"/>
      </w:pPr>
      <w:r>
        <w:rPr>
          <w:rFonts w:ascii="Calibri" w:cs="Calibri" w:eastAsia="Calibri" w:hAnsi="Calibri"/>
          <w:b/>
          <w:bCs/>
          <w:sz w:val="24"/>
          <w:szCs w:val="24"/>
        </w:rPr>
        <w:t xml:space="preserve">THIRD APPLICANT'S RESPONSE AND PROPOSED DIRECTIONS</w:t>
      </w:r>
    </w:p>
    <w:p>
      <w:pPr>
        <w:spacing w:after="240"/>
        <w:jc w:val="center"/>
      </w:pPr>
      <w:r>
        <w:rPr>
          <w:rFonts w:ascii="Calibri" w:cs="Calibri" w:eastAsia="Calibri" w:hAnsi="Calibri"/>
          <w:sz w:val="22"/>
          <w:szCs w:val="22"/>
        </w:rPr>
        <w:t xml:space="preserve">in response to the Tribunal's decision dated 31 July 2026 and the Respondent's proposed minute of order dated 14 August 2026</w:t>
      </w:r>
    </w:p>
    <w:p>
      <w:pPr>
        <w:spacing w:after="120" w:before="240"/>
      </w:pPr>
      <w:r>
        <w:rPr>
          <w:rFonts w:ascii="Calibri" w:cs="Calibri" w:eastAsia="Calibri" w:hAnsi="Calibri"/>
          <w:b/>
          <w:bCs/>
          <w:sz w:val="22"/>
          <w:szCs w:val="22"/>
        </w:rPr>
        <w:t xml:space="preserve">A.  Position</w:t>
      </w:r>
    </w:p>
    <w:p>
      <w:pPr>
        <w:tabs>
          <w:tab w:val="left" w:pos="567"/>
        </w:tabs>
        <w:spacing w:after="120" w:line="276"/>
        <w:ind w:left="567" w:hanging="567"/>
        <w:jc w:val="both"/>
      </w:pPr>
      <w:r>
        <w:rPr>
          <w:rFonts w:ascii="Calibri" w:cs="Calibri" w:eastAsia="Calibri" w:hAnsi="Calibri"/>
          <w:sz w:val="22"/>
          <w:szCs w:val="22"/>
        </w:rPr>
        <w:t xml:space="preserve">1.	</w:t>
      </w:r>
      <w:r>
        <w:rPr>
          <w:rFonts w:ascii="Calibri" w:cs="Calibri" w:eastAsia="Calibri" w:hAnsi="Calibri"/>
          <w:sz w:val="22"/>
          <w:szCs w:val="22"/>
        </w:rPr>
        <w:t xml:space="preserve">This response is filed by the Third Applicant, Forward Focused Group Pty Ltd, in matter 2023/4494. It does not state the position of, and does not bind, the First or Second Applicants, each of which responds separately.</w:t>
      </w:r>
    </w:p>
    <w:p>
      <w:pPr>
        <w:tabs>
          <w:tab w:val="left" w:pos="567"/>
        </w:tabs>
        <w:spacing w:after="120" w:line="276"/>
        <w:ind w:left="567" w:hanging="567"/>
        <w:jc w:val="both"/>
      </w:pPr>
      <w:r>
        <w:rPr>
          <w:rFonts w:ascii="Calibri" w:cs="Calibri" w:eastAsia="Calibri" w:hAnsi="Calibri"/>
          <w:sz w:val="22"/>
          <w:szCs w:val="22"/>
        </w:rPr>
        <w:t xml:space="preserve">2.	</w:t>
      </w:r>
      <w:r>
        <w:rPr>
          <w:rFonts w:ascii="Calibri" w:cs="Calibri" w:eastAsia="Calibri" w:hAnsi="Calibri"/>
          <w:sz w:val="22"/>
          <w:szCs w:val="22"/>
        </w:rPr>
        <w:t xml:space="preserve">The Third Applicant notes the Tribunal's decision dated 31 July 2026 that the applications proceed together and will proceed in accordance with it. It supports the matters proceeding to a final hearing without further delay, subject to the sequence and content proposed below.</w:t>
      </w:r>
    </w:p>
    <w:p>
      <w:pPr>
        <w:tabs>
          <w:tab w:val="left" w:pos="567"/>
        </w:tabs>
        <w:spacing w:after="120" w:line="276"/>
        <w:ind w:left="567" w:hanging="567"/>
        <w:jc w:val="both"/>
      </w:pPr>
      <w:r>
        <w:rPr>
          <w:rFonts w:ascii="Calibri" w:cs="Calibri" w:eastAsia="Calibri" w:hAnsi="Calibri"/>
          <w:sz w:val="22"/>
          <w:szCs w:val="22"/>
        </w:rPr>
        <w:t xml:space="preserve">3.	</w:t>
      </w:r>
      <w:r>
        <w:rPr>
          <w:rFonts w:ascii="Calibri" w:cs="Calibri" w:eastAsia="Calibri" w:hAnsi="Calibri"/>
          <w:sz w:val="22"/>
          <w:szCs w:val="22"/>
        </w:rPr>
        <w:t xml:space="preserve">Nothing in this response, or omitted from it, is an admission of any fact or contention advanced by the Respondent, and nothing in it waives any privilege.</w:t>
      </w:r>
    </w:p>
    <w:p>
      <w:pPr>
        <w:spacing w:after="120" w:before="240"/>
      </w:pPr>
      <w:r>
        <w:rPr>
          <w:rFonts w:ascii="Calibri" w:cs="Calibri" w:eastAsia="Calibri" w:hAnsi="Calibri"/>
          <w:b/>
          <w:bCs/>
          <w:sz w:val="22"/>
          <w:szCs w:val="22"/>
        </w:rPr>
        <w:t xml:space="preserve">B.  The decision under review, and timing</w:t>
      </w:r>
    </w:p>
    <w:p>
      <w:pPr>
        <w:tabs>
          <w:tab w:val="left" w:pos="567"/>
        </w:tabs>
        <w:spacing w:after="120" w:line="276"/>
        <w:ind w:left="567" w:hanging="567"/>
        <w:jc w:val="both"/>
      </w:pPr>
      <w:r>
        <w:rPr>
          <w:rFonts w:ascii="Calibri" w:cs="Calibri" w:eastAsia="Calibri" w:hAnsi="Calibri"/>
          <w:sz w:val="22"/>
          <w:szCs w:val="22"/>
        </w:rPr>
        <w:t xml:space="preserve">4.	</w:t>
      </w:r>
      <w:r>
        <w:rPr>
          <w:rFonts w:ascii="Calibri" w:cs="Calibri" w:eastAsia="Calibri" w:hAnsi="Calibri"/>
          <w:sz w:val="22"/>
          <w:szCs w:val="22"/>
        </w:rPr>
        <w:t xml:space="preserve">On 20 December 2022 the Respondent made a banning order against the Third Applicant under section 73ZN(1)(a) of the NDIS Act, on the revocation of its registration, for ten years. On internal review on 8 June 2023 the delegate reduced the period to three years because it </w:t>
      </w:r>
      <w:r>
        <w:rPr>
          <w:rFonts w:ascii="Calibri" w:cs="Calibri" w:eastAsia="Calibri" w:hAnsi="Calibri"/>
          <w:sz w:val="22"/>
          <w:szCs w:val="22"/>
        </w:rPr>
        <w:t xml:space="preserve">“corresponds with the amount of time it is reasonably expected to take for the criminal proceedings to be finally determined by the court”</w:t>
      </w:r>
      <w:r>
        <w:rPr>
          <w:rFonts w:ascii="Calibri" w:cs="Calibri" w:eastAsia="Calibri" w:hAnsi="Calibri"/>
          <w:sz w:val="22"/>
          <w:szCs w:val="22"/>
        </w:rPr>
        <w:t xml:space="preserve">, and stated: </w:t>
      </w:r>
      <w:r>
        <w:rPr>
          <w:rFonts w:ascii="Calibri" w:cs="Calibri" w:eastAsia="Calibri" w:hAnsi="Calibri"/>
          <w:sz w:val="22"/>
          <w:szCs w:val="22"/>
        </w:rPr>
        <w:t xml:space="preserve">“Upon determination of those proceedings, the banning order against FFG can be revisited and consideration given to whether it should be varied any further (or revoked entirely).”</w:t>
      </w:r>
      <w:r>
        <w:rPr>
          <w:rFonts w:ascii="Calibri" w:cs="Calibri" w:eastAsia="Calibri" w:hAnsi="Calibri"/>
          <w:sz w:val="22"/>
          <w:szCs w:val="22"/>
        </w:rPr>
        <w:t xml:space="preserve"> (at [73]). The Third Applicant was not charged. The only criminal proceedings identified in the material, against Mrs Reid, were discontinued on 23 February 2024. The order was not revisited, and it expired at 12:00am on 21 December 2025 (AWST) (at [75]).</w:t>
      </w:r>
    </w:p>
    <w:p>
      <w:pPr>
        <w:tabs>
          <w:tab w:val="left" w:pos="567"/>
        </w:tabs>
        <w:spacing w:after="120" w:line="276"/>
        <w:ind w:left="567" w:hanging="567"/>
        <w:jc w:val="both"/>
      </w:pPr>
      <w:r>
        <w:rPr>
          <w:rFonts w:ascii="Calibri" w:cs="Calibri" w:eastAsia="Calibri" w:hAnsi="Calibri"/>
          <w:sz w:val="22"/>
          <w:szCs w:val="22"/>
        </w:rPr>
        <w:t xml:space="preserve">5.	</w:t>
      </w:r>
      <w:r>
        <w:rPr>
          <w:rFonts w:ascii="Calibri" w:cs="Calibri" w:eastAsia="Calibri" w:hAnsi="Calibri"/>
          <w:sz w:val="22"/>
          <w:szCs w:val="22"/>
        </w:rPr>
        <w:t xml:space="preserve">The review retains its utility. On 13 February 2026 the Respondent's solicitors advised that </w:t>
      </w:r>
      <w:r>
        <w:rPr>
          <w:rFonts w:ascii="Calibri" w:cs="Calibri" w:eastAsia="Calibri" w:hAnsi="Calibri"/>
          <w:sz w:val="22"/>
          <w:szCs w:val="22"/>
        </w:rPr>
        <w:t xml:space="preserve">“it is standard practice for expired banning orders to remain on the NDIS Commission register indefinitely with a status of ‘no longer in force’”</w:t>
      </w:r>
      <w:r>
        <w:rPr>
          <w:rFonts w:ascii="Calibri" w:cs="Calibri" w:eastAsia="Calibri" w:hAnsi="Calibri"/>
          <w:sz w:val="22"/>
          <w:szCs w:val="22"/>
        </w:rPr>
        <w:t xml:space="preserve">. The Third Applicant seeks that the decision be set aside and a decision substituted that no banning order be made. A substituted decision is taken to have had effect from the time the reviewable decision had effect unless the Tribunal orders otherwise (section 108(4) of the Administrative Review Tribunal Act 2024).</w:t>
      </w:r>
    </w:p>
    <w:p>
      <w:pPr>
        <w:tabs>
          <w:tab w:val="left" w:pos="567"/>
        </w:tabs>
        <w:spacing w:after="120" w:line="276"/>
        <w:ind w:left="567" w:hanging="567"/>
        <w:jc w:val="both"/>
      </w:pPr>
      <w:r>
        <w:rPr>
          <w:rFonts w:ascii="Calibri" w:cs="Calibri" w:eastAsia="Calibri" w:hAnsi="Calibri"/>
          <w:sz w:val="22"/>
          <w:szCs w:val="22"/>
        </w:rPr>
        <w:t xml:space="preserve">6.	</w:t>
      </w:r>
      <w:r>
        <w:rPr>
          <w:rFonts w:ascii="Calibri" w:cs="Calibri" w:eastAsia="Calibri" w:hAnsi="Calibri"/>
          <w:sz w:val="22"/>
          <w:szCs w:val="22"/>
        </w:rPr>
        <w:t xml:space="preserve">The present position is as follows:</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Respondent's application of 7 May 2026 under section 70 of the </w:t>
      </w:r>
      <w:r>
        <w:rPr>
          <w:rFonts w:ascii="Calibri" w:cs="Calibri" w:eastAsia="Calibri" w:hAnsi="Calibri"/>
          <w:i/>
          <w:iCs/>
          <w:sz w:val="22"/>
          <w:szCs w:val="22"/>
        </w:rPr>
        <w:t xml:space="preserve">Administrative Review Tribunal Act 2024</w:t>
      </w:r>
      <w:r>
        <w:rPr>
          <w:rFonts w:ascii="Calibri" w:cs="Calibri" w:eastAsia="Calibri" w:hAnsi="Calibri"/>
          <w:sz w:val="22"/>
          <w:szCs w:val="22"/>
        </w:rPr>
        <w:t xml:space="preserve"> (</w:t>
      </w:r>
      <w:r>
        <w:rPr>
          <w:rFonts w:ascii="Calibri" w:cs="Calibri" w:eastAsia="Calibri" w:hAnsi="Calibri"/>
          <w:i/>
          <w:iCs/>
          <w:sz w:val="22"/>
          <w:szCs w:val="22"/>
        </w:rPr>
        <w:t xml:space="preserve">ART Act</w:t>
      </w:r>
      <w:r>
        <w:rPr>
          <w:rFonts w:ascii="Calibri" w:cs="Calibri" w:eastAsia="Calibri" w:hAnsi="Calibri"/>
          <w:sz w:val="22"/>
          <w:szCs w:val="22"/>
        </w:rPr>
        <w:t xml:space="preserve">) remains undetermined. The Second Applicant filed submissions in response on 19 May 2026.</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At [41] of its decision the Tribunal directed the Respondent to file and serve a proposed timetable within 14 days and indicated that the applications would then be relisted for a telephone directions hearing. The Respondent served its minute on 14 August 2026. No directions hearing has yet been listed.</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On 19 March 2026 the Respondent informed the Tribunal that documents relating to the Second Applicant </w:t>
      </w:r>
      <w:r>
        <w:rPr>
          <w:rFonts w:ascii="Calibri" w:cs="Calibri" w:eastAsia="Calibri" w:hAnsi="Calibri"/>
          <w:sz w:val="22"/>
          <w:szCs w:val="22"/>
        </w:rPr>
        <w:t xml:space="preserve">“were not included in the previous tender bundle”</w:t>
      </w:r>
      <w:r>
        <w:rPr>
          <w:rFonts w:ascii="Calibri" w:cs="Calibri" w:eastAsia="Calibri" w:hAnsi="Calibri"/>
          <w:sz w:val="22"/>
          <w:szCs w:val="22"/>
        </w:rPr>
        <w:t xml:space="preserve"> (submissions at [15]), and proposed to file an updated tender bundle </w:t>
      </w:r>
      <w:r>
        <w:rPr>
          <w:rFonts w:ascii="Calibri" w:cs="Calibri" w:eastAsia="Calibri" w:hAnsi="Calibri"/>
          <w:sz w:val="22"/>
          <w:szCs w:val="22"/>
        </w:rPr>
        <w:t xml:space="preserve">“consisting of all documents required to be produced under section 23”</w:t>
      </w:r>
      <w:r>
        <w:rPr>
          <w:rFonts w:ascii="Calibri" w:cs="Calibri" w:eastAsia="Calibri" w:hAnsi="Calibri"/>
          <w:sz w:val="22"/>
          <w:szCs w:val="22"/>
        </w:rPr>
        <w:t xml:space="preserve"> of the ART Act (at [18.1]). Its minute proposed that the bundle be filed by 28 August 2026. No order has been made, and the Third Applicant has not received the bundle.</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minute proposed that the applicants file their updated statements of facts, issues and contentions (</w:t>
      </w:r>
      <w:r>
        <w:rPr>
          <w:rFonts w:ascii="Calibri" w:cs="Calibri" w:eastAsia="Calibri" w:hAnsi="Calibri"/>
          <w:i/>
          <w:iCs/>
          <w:sz w:val="22"/>
          <w:szCs w:val="22"/>
        </w:rPr>
        <w:t xml:space="preserve">SFICs</w:t>
      </w:r>
      <w:r>
        <w:rPr>
          <w:rFonts w:ascii="Calibri" w:cs="Calibri" w:eastAsia="Calibri" w:hAnsi="Calibri"/>
          <w:sz w:val="22"/>
          <w:szCs w:val="22"/>
        </w:rPr>
        <w:t xml:space="preserve">) and evidence by 25 September 2026 — four weeks after a bundle that has not been served, before the section 70 application is determined, and before the Respondent has identified the case it relies on against each applicant. No order was made in those terms.</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On 2 November 2023 the Respondent submitted that it would </w:t>
      </w:r>
      <w:r>
        <w:rPr>
          <w:rFonts w:ascii="Calibri" w:cs="Calibri" w:eastAsia="Calibri" w:hAnsi="Calibri"/>
          <w:sz w:val="22"/>
          <w:szCs w:val="22"/>
        </w:rPr>
        <w:t xml:space="preserve">“be happy to work on an expedited timetable to progress these matters when the current (and any reasonably possible) criminal proceedings are concluded”</w:t>
      </w:r>
      <w:r>
        <w:rPr>
          <w:rFonts w:ascii="Calibri" w:cs="Calibri" w:eastAsia="Calibri" w:hAnsi="Calibri"/>
          <w:sz w:val="22"/>
          <w:szCs w:val="22"/>
        </w:rPr>
        <w:t xml:space="preserve"> (submissions at [23]).</w:t>
      </w:r>
    </w:p>
    <w:p>
      <w:pPr>
        <w:tabs>
          <w:tab w:val="left" w:pos="567"/>
        </w:tabs>
        <w:spacing w:after="120" w:line="276"/>
        <w:ind w:left="567" w:hanging="567"/>
        <w:jc w:val="both"/>
      </w:pPr>
      <w:r>
        <w:rPr>
          <w:rFonts w:ascii="Calibri" w:cs="Calibri" w:eastAsia="Calibri" w:hAnsi="Calibri"/>
          <w:sz w:val="22"/>
          <w:szCs w:val="22"/>
        </w:rPr>
        <w:t xml:space="preserve">7.	</w:t>
      </w:r>
      <w:r>
        <w:rPr>
          <w:rFonts w:ascii="Calibri" w:cs="Calibri" w:eastAsia="Calibri" w:hAnsi="Calibri"/>
          <w:sz w:val="22"/>
          <w:szCs w:val="22"/>
        </w:rPr>
        <w:t xml:space="preserve">The procedural history includes delay from a number of causes. The Third Applicant does not seek to revisit it. The Third Applicant asks for a timetable with firm dates that allows the review to be heard and decided well before December 2027, when the individual orders against the First and Second Applicants expire.</w:t>
      </w:r>
    </w:p>
    <w:p>
      <w:pPr>
        <w:spacing w:after="120" w:before="240"/>
      </w:pPr>
      <w:r>
        <w:rPr>
          <w:rFonts w:ascii="Calibri" w:cs="Calibri" w:eastAsia="Calibri" w:hAnsi="Calibri"/>
          <w:b/>
          <w:bCs/>
          <w:sz w:val="22"/>
          <w:szCs w:val="22"/>
        </w:rPr>
        <w:t xml:space="preserve">C.  The case the Third Applicant must meet</w:t>
      </w:r>
    </w:p>
    <w:p>
      <w:pPr>
        <w:tabs>
          <w:tab w:val="left" w:pos="567"/>
        </w:tabs>
        <w:spacing w:after="120" w:line="276"/>
        <w:ind w:left="567" w:hanging="567"/>
        <w:jc w:val="both"/>
      </w:pPr>
      <w:r>
        <w:rPr>
          <w:rFonts w:ascii="Calibri" w:cs="Calibri" w:eastAsia="Calibri" w:hAnsi="Calibri"/>
          <w:sz w:val="22"/>
          <w:szCs w:val="22"/>
        </w:rPr>
        <w:t xml:space="preserve">8.	</w:t>
      </w:r>
      <w:r>
        <w:rPr>
          <w:rFonts w:ascii="Calibri" w:cs="Calibri" w:eastAsia="Calibri" w:hAnsi="Calibri"/>
          <w:sz w:val="22"/>
          <w:szCs w:val="22"/>
        </w:rPr>
        <w:t xml:space="preserve">At [38] of its decision the Tribunal identified that it will need to consider whether each applicant is a suitable person to be involved in the provision of services to people with disability under section 73ZN(2) of the </w:t>
      </w:r>
      <w:r>
        <w:rPr>
          <w:rFonts w:ascii="Calibri" w:cs="Calibri" w:eastAsia="Calibri" w:hAnsi="Calibri"/>
          <w:i/>
          <w:iCs/>
          <w:sz w:val="22"/>
          <w:szCs w:val="22"/>
        </w:rPr>
        <w:t xml:space="preserve">National Disability Insurance Scheme Act 2013</w:t>
      </w:r>
      <w:r>
        <w:rPr>
          <w:rFonts w:ascii="Calibri" w:cs="Calibri" w:eastAsia="Calibri" w:hAnsi="Calibri"/>
          <w:sz w:val="22"/>
          <w:szCs w:val="22"/>
        </w:rPr>
        <w:t xml:space="preserve"> (</w:t>
      </w:r>
      <w:r>
        <w:rPr>
          <w:rFonts w:ascii="Calibri" w:cs="Calibri" w:eastAsia="Calibri" w:hAnsi="Calibri"/>
          <w:i/>
          <w:iCs/>
          <w:sz w:val="22"/>
          <w:szCs w:val="22"/>
        </w:rPr>
        <w:t xml:space="preserve">NDIS Act</w:t>
      </w:r>
      <w:r>
        <w:rPr>
          <w:rFonts w:ascii="Calibri" w:cs="Calibri" w:eastAsia="Calibri" w:hAnsi="Calibri"/>
          <w:sz w:val="22"/>
          <w:szCs w:val="22"/>
        </w:rPr>
        <w:t xml:space="preserve">), which will require findings relating to the allegations, including (a) whether any NDIS funding was made or received for services that had not been provided to the participant; (b) whether Mr Reid or Mrs Reid had intimidated or harassed any participant; and (c) whether Mr Reid or Mrs Reid had contravened their respective banning orders.</w:t>
      </w:r>
    </w:p>
    <w:p>
      <w:pPr>
        <w:tabs>
          <w:tab w:val="left" w:pos="567"/>
        </w:tabs>
        <w:spacing w:after="120" w:line="276"/>
        <w:ind w:left="567" w:hanging="567"/>
        <w:jc w:val="both"/>
      </w:pPr>
      <w:r>
        <w:rPr>
          <w:rFonts w:ascii="Calibri" w:cs="Calibri" w:eastAsia="Calibri" w:hAnsi="Calibri"/>
          <w:sz w:val="22"/>
          <w:szCs w:val="22"/>
        </w:rPr>
        <w:t xml:space="preserve">9.	</w:t>
      </w:r>
      <w:r>
        <w:rPr>
          <w:rFonts w:ascii="Calibri" w:cs="Calibri" w:eastAsia="Calibri" w:hAnsi="Calibri"/>
          <w:sz w:val="22"/>
          <w:szCs w:val="22"/>
        </w:rPr>
        <w:t xml:space="preserve">The matters summarised at [35] to [37] of the decision are, as [38] records, allegations; in summarising them the Tribunal was assisted by the Respondent's summary (at [33]). The Third Applicant disputes them in so far as they are relied on against it.</w:t>
      </w:r>
    </w:p>
    <w:p>
      <w:pPr>
        <w:tabs>
          <w:tab w:val="left" w:pos="567"/>
        </w:tabs>
        <w:spacing w:after="120" w:line="276"/>
        <w:ind w:left="567" w:hanging="567"/>
        <w:jc w:val="both"/>
      </w:pPr>
      <w:r>
        <w:rPr>
          <w:rFonts w:ascii="Calibri" w:cs="Calibri" w:eastAsia="Calibri" w:hAnsi="Calibri"/>
          <w:sz w:val="22"/>
          <w:szCs w:val="22"/>
        </w:rPr>
        <w:t xml:space="preserve">10.	</w:t>
      </w:r>
      <w:r>
        <w:rPr>
          <w:rFonts w:ascii="Calibri" w:cs="Calibri" w:eastAsia="Calibri" w:hAnsi="Calibri"/>
          <w:sz w:val="22"/>
          <w:szCs w:val="22"/>
        </w:rPr>
        <w:t xml:space="preserve">The order against the Third Applicant was made under section 73ZN(1)(a). The internal review stated that such an order </w:t>
      </w:r>
      <w:r>
        <w:rPr>
          <w:rFonts w:ascii="Calibri" w:cs="Calibri" w:eastAsia="Calibri" w:hAnsi="Calibri"/>
          <w:sz w:val="22"/>
          <w:szCs w:val="22"/>
        </w:rPr>
        <w:t xml:space="preserve">“should, in principle, only be used if there is some further or compelling reason for such an order to be made given an NDIS provider will already be constrained from engaging in the NDIS as a result of the revocation of its registration”</w:t>
      </w:r>
      <w:r>
        <w:rPr>
          <w:rFonts w:ascii="Calibri" w:cs="Calibri" w:eastAsia="Calibri" w:hAnsi="Calibri"/>
          <w:sz w:val="22"/>
          <w:szCs w:val="22"/>
        </w:rPr>
        <w:t xml:space="preserve"> (at [37(a)]). The Third Applicant asks that the Respondent identify the further or compelling reason on which it now relies, the claims it attributes to the Third Applicant, and the evidence for each, before the Third Applicant files its evidence.</w:t>
      </w:r>
    </w:p>
    <w:p>
      <w:pPr>
        <w:tabs>
          <w:tab w:val="left" w:pos="567"/>
        </w:tabs>
        <w:spacing w:after="120" w:line="276"/>
        <w:ind w:left="567" w:hanging="567"/>
        <w:jc w:val="both"/>
      </w:pPr>
      <w:r>
        <w:rPr>
          <w:rFonts w:ascii="Calibri" w:cs="Calibri" w:eastAsia="Calibri" w:hAnsi="Calibri"/>
          <w:sz w:val="22"/>
          <w:szCs w:val="22"/>
        </w:rPr>
        <w:t xml:space="preserve">11.	</w:t>
      </w:r>
      <w:r>
        <w:rPr>
          <w:rFonts w:ascii="Calibri" w:cs="Calibri" w:eastAsia="Calibri" w:hAnsi="Calibri"/>
          <w:sz w:val="22"/>
          <w:szCs w:val="22"/>
        </w:rPr>
        <w:t xml:space="preserve">The Third Applicant does not ask the Tribunal to limit the material the Respondent may rely on. It asks only that the case be identified so that the hearing addresses a defined case rather than allegations at large.</w:t>
      </w:r>
    </w:p>
    <w:p>
      <w:pPr>
        <w:spacing w:after="120" w:before="240"/>
      </w:pPr>
      <w:r>
        <w:rPr>
          <w:rFonts w:ascii="Calibri" w:cs="Calibri" w:eastAsia="Calibri" w:hAnsi="Calibri"/>
          <w:b/>
          <w:bCs/>
          <w:sz w:val="22"/>
          <w:szCs w:val="22"/>
        </w:rPr>
        <w:t xml:space="preserve">D.  Documents</w:t>
      </w:r>
    </w:p>
    <w:p>
      <w:pPr>
        <w:tabs>
          <w:tab w:val="left" w:pos="567"/>
        </w:tabs>
        <w:spacing w:after="120" w:line="276"/>
        <w:ind w:left="567" w:hanging="567"/>
        <w:jc w:val="both"/>
      </w:pPr>
      <w:r>
        <w:rPr>
          <w:rFonts w:ascii="Calibri" w:cs="Calibri" w:eastAsia="Calibri" w:hAnsi="Calibri"/>
          <w:sz w:val="22"/>
          <w:szCs w:val="22"/>
        </w:rPr>
        <w:t xml:space="preserve">12.	</w:t>
      </w:r>
      <w:r>
        <w:rPr>
          <w:rFonts w:ascii="Calibri" w:cs="Calibri" w:eastAsia="Calibri" w:hAnsi="Calibri"/>
          <w:sz w:val="22"/>
          <w:szCs w:val="22"/>
        </w:rPr>
        <w:t xml:space="preserve">On 12 September 2023 the Tribunal ordered (order 2) that, </w:t>
      </w:r>
      <w:r>
        <w:rPr>
          <w:rFonts w:ascii="Calibri" w:cs="Calibri" w:eastAsia="Calibri" w:hAnsi="Calibri"/>
          <w:sz w:val="22"/>
          <w:szCs w:val="22"/>
        </w:rPr>
        <w:t xml:space="preserve">“by reason of current criminal proceedings and/or legal professional privilege”</w:t>
      </w:r>
      <w:r>
        <w:rPr>
          <w:rFonts w:ascii="Calibri" w:cs="Calibri" w:eastAsia="Calibri" w:hAnsi="Calibri"/>
          <w:sz w:val="22"/>
          <w:szCs w:val="22"/>
        </w:rPr>
        <w:t xml:space="preserve">, the Respondent was not required to give the applicants the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The Respondent had submitted that it </w:t>
      </w:r>
      <w:r>
        <w:rPr>
          <w:rFonts w:ascii="Calibri" w:cs="Calibri" w:eastAsia="Calibri" w:hAnsi="Calibri"/>
          <w:sz w:val="22"/>
          <w:szCs w:val="22"/>
        </w:rPr>
        <w:t xml:space="preserve">“anticipates regularly reviewing the documents set out in the confidential index with a view to disclosing them if and/or when, the grounds for this application fall away”</w:t>
      </w:r>
      <w:r>
        <w:rPr>
          <w:rFonts w:ascii="Calibri" w:cs="Calibri" w:eastAsia="Calibri" w:hAnsi="Calibri"/>
          <w:sz w:val="22"/>
          <w:szCs w:val="22"/>
        </w:rPr>
        <w:t xml:space="preserve"> (submissions of 12 September 2023 at [23]). The only criminal proceedings identified in the material were discontinued on 23 February 2024. The Third Applicant asks that the Respondent now state which of those documents remain withheld and on what basis.</w:t>
      </w:r>
    </w:p>
    <w:p>
      <w:pPr>
        <w:tabs>
          <w:tab w:val="left" w:pos="567"/>
        </w:tabs>
        <w:spacing w:after="120" w:line="276"/>
        <w:ind w:left="567" w:hanging="567"/>
        <w:jc w:val="both"/>
      </w:pPr>
      <w:r>
        <w:rPr>
          <w:rFonts w:ascii="Calibri" w:cs="Calibri" w:eastAsia="Calibri" w:hAnsi="Calibri"/>
          <w:sz w:val="22"/>
          <w:szCs w:val="22"/>
        </w:rPr>
        <w:t xml:space="preserve">13.	</w:t>
      </w:r>
      <w:r>
        <w:rPr>
          <w:rFonts w:ascii="Calibri" w:cs="Calibri" w:eastAsia="Calibri" w:hAnsi="Calibri"/>
          <w:sz w:val="22"/>
          <w:szCs w:val="22"/>
        </w:rPr>
        <w:t xml:space="preserve">Section 23 of the ART Act requires the decision-maker to give the Tribunal every document in its possession or control that is relevant to the review. The Third Applicant asks that the documents be before the Tribunal and described sufficiently for relevance or restriction to be decided by the Tribunal.</w:t>
      </w:r>
    </w:p>
    <w:p>
      <w:pPr>
        <w:spacing w:after="120" w:before="240"/>
      </w:pPr>
      <w:r>
        <w:rPr>
          <w:rFonts w:ascii="Calibri" w:cs="Calibri" w:eastAsia="Calibri" w:hAnsi="Calibri"/>
          <w:b/>
          <w:bCs/>
          <w:sz w:val="22"/>
          <w:szCs w:val="22"/>
        </w:rPr>
        <w:t xml:space="preserve">E.  Form of any order</w:t>
      </w:r>
    </w:p>
    <w:p>
      <w:pPr>
        <w:tabs>
          <w:tab w:val="left" w:pos="567"/>
        </w:tabs>
        <w:spacing w:after="120" w:line="276"/>
        <w:ind w:left="567" w:hanging="567"/>
        <w:jc w:val="both"/>
      </w:pPr>
      <w:r>
        <w:rPr>
          <w:rFonts w:ascii="Calibri" w:cs="Calibri" w:eastAsia="Calibri" w:hAnsi="Calibri"/>
          <w:sz w:val="22"/>
          <w:szCs w:val="22"/>
        </w:rPr>
        <w:t xml:space="preserve">14.	</w:t>
      </w:r>
      <w:r>
        <w:rPr>
          <w:rFonts w:ascii="Calibri" w:cs="Calibri" w:eastAsia="Calibri" w:hAnsi="Calibri"/>
          <w:sz w:val="22"/>
          <w:szCs w:val="22"/>
        </w:rPr>
        <w:t xml:space="preserve">The order prohibited the Third Applicant from </w:t>
      </w:r>
      <w:r>
        <w:rPr>
          <w:rFonts w:ascii="Calibri" w:cs="Calibri" w:eastAsia="Calibri" w:hAnsi="Calibri"/>
          <w:sz w:val="22"/>
          <w:szCs w:val="22"/>
        </w:rPr>
        <w:t xml:space="preserve">“providing supports or services, directly or indirectly, to NDIS-funded participants”</w:t>
      </w:r>
      <w:r>
        <w:rPr>
          <w:rFonts w:ascii="Calibri" w:cs="Calibri" w:eastAsia="Calibri" w:hAnsi="Calibri"/>
          <w:sz w:val="22"/>
          <w:szCs w:val="22"/>
        </w:rPr>
        <w:t xml:space="preserve">. The Third Applicant reserves its position on the form of the order.</w:t>
      </w:r>
    </w:p>
    <w:p>
      <w:pPr>
        <w:spacing w:after="120" w:before="240"/>
      </w:pPr>
      <w:r>
        <w:rPr>
          <w:rFonts w:ascii="Calibri" w:cs="Calibri" w:eastAsia="Calibri" w:hAnsi="Calibri"/>
          <w:b/>
          <w:bCs/>
          <w:sz w:val="22"/>
          <w:szCs w:val="22"/>
        </w:rPr>
        <w:t xml:space="preserve">F.  Directions sought</w:t>
      </w:r>
    </w:p>
    <w:p>
      <w:pPr>
        <w:tabs>
          <w:tab w:val="left" w:pos="567"/>
        </w:tabs>
        <w:spacing w:after="120" w:line="276"/>
        <w:ind w:left="567" w:hanging="567"/>
        <w:jc w:val="both"/>
      </w:pPr>
      <w:r>
        <w:rPr>
          <w:rFonts w:ascii="Calibri" w:cs="Calibri" w:eastAsia="Calibri" w:hAnsi="Calibri"/>
          <w:sz w:val="22"/>
          <w:szCs w:val="22"/>
        </w:rPr>
        <w:t xml:space="preserve">D1.	</w:t>
      </w:r>
      <w:r>
        <w:rPr>
          <w:rFonts w:ascii="Calibri" w:cs="Calibri" w:eastAsia="Calibri" w:hAnsi="Calibri"/>
          <w:b/>
          <w:bCs/>
          <w:sz w:val="22"/>
          <w:szCs w:val="22"/>
        </w:rPr>
        <w:t xml:space="preserve">Directions hearing. </w:t>
      </w:r>
      <w:r>
        <w:rPr>
          <w:rFonts w:ascii="Calibri" w:cs="Calibri" w:eastAsia="Calibri" w:hAnsi="Calibri"/>
          <w:sz w:val="22"/>
          <w:szCs w:val="22"/>
        </w:rPr>
        <w:t xml:space="preserve">The applications be listed for the telephone directions hearing foreshadowed at [41] of the decision dated 31 July 2026 at the earliest available date.</w:t>
      </w:r>
    </w:p>
    <w:p>
      <w:pPr>
        <w:tabs>
          <w:tab w:val="left" w:pos="567"/>
        </w:tabs>
        <w:spacing w:after="120" w:line="276"/>
        <w:ind w:left="567" w:hanging="567"/>
        <w:jc w:val="both"/>
      </w:pPr>
      <w:r>
        <w:rPr>
          <w:rFonts w:ascii="Calibri" w:cs="Calibri" w:eastAsia="Calibri" w:hAnsi="Calibri"/>
          <w:sz w:val="22"/>
          <w:szCs w:val="22"/>
        </w:rPr>
        <w:t xml:space="preserve">D2.	</w:t>
      </w:r>
      <w:r>
        <w:rPr>
          <w:rFonts w:ascii="Calibri" w:cs="Calibri" w:eastAsia="Calibri" w:hAnsi="Calibri"/>
          <w:b/>
          <w:bCs/>
          <w:sz w:val="22"/>
          <w:szCs w:val="22"/>
        </w:rPr>
        <w:t xml:space="preserve">Section 70 application. </w:t>
      </w:r>
      <w:r>
        <w:rPr>
          <w:rFonts w:ascii="Calibri" w:cs="Calibri" w:eastAsia="Calibri" w:hAnsi="Calibri"/>
          <w:sz w:val="22"/>
          <w:szCs w:val="22"/>
        </w:rPr>
        <w:t xml:space="preserve">The Respondent's application of 7 May 2026 be determined at the directions hearing after brief oral submissions, the Tribunal being at liberty to inspect the documents.</w:t>
      </w:r>
    </w:p>
    <w:p>
      <w:pPr>
        <w:tabs>
          <w:tab w:val="left" w:pos="567"/>
        </w:tabs>
        <w:spacing w:after="120" w:line="276"/>
        <w:ind w:left="567" w:hanging="567"/>
        <w:jc w:val="both"/>
      </w:pPr>
      <w:r>
        <w:rPr>
          <w:rFonts w:ascii="Calibri" w:cs="Calibri" w:eastAsia="Calibri" w:hAnsi="Calibri"/>
          <w:sz w:val="22"/>
          <w:szCs w:val="22"/>
        </w:rPr>
        <w:t xml:space="preserve">D3.	</w:t>
      </w:r>
      <w:r>
        <w:rPr>
          <w:rFonts w:ascii="Calibri" w:cs="Calibri" w:eastAsia="Calibri" w:hAnsi="Calibri"/>
          <w:b/>
          <w:bCs/>
          <w:sz w:val="22"/>
          <w:szCs w:val="22"/>
        </w:rPr>
        <w:t xml:space="preserve">Documents. </w:t>
      </w:r>
      <w:r>
        <w:rPr>
          <w:rFonts w:ascii="Calibri" w:cs="Calibri" w:eastAsia="Calibri" w:hAnsi="Calibri"/>
          <w:sz w:val="22"/>
          <w:szCs w:val="22"/>
        </w:rPr>
        <w:t xml:space="preserve">Within 14 days, the Respondent: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state which documents in the bundle marked </w:t>
      </w:r>
      <w:r>
        <w:rPr>
          <w:rFonts w:ascii="Calibri" w:cs="Calibri" w:eastAsia="Calibri" w:hAnsi="Calibri"/>
          <w:sz w:val="22"/>
          <w:szCs w:val="22"/>
        </w:rPr>
        <w:t xml:space="preserve">“Index – Confidential Tribunal Documents”</w:t>
      </w:r>
      <w:r>
        <w:rPr>
          <w:rFonts w:ascii="Calibri" w:cs="Calibri" w:eastAsia="Calibri" w:hAnsi="Calibri"/>
          <w:sz w:val="22"/>
          <w:szCs w:val="22"/>
        </w:rPr>
        <w:t xml:space="preserve"> remain withheld under order 2 of 12 September 2023 and on what basis, and serve any document withheld only by reason of criminal proceedings that are no longer current; and</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file and serve a list describing each document it withholds from the Third Applicant (date, author, recipient, general nature) and the basis for withholding it.</w:t>
      </w:r>
    </w:p>
    <w:p>
      <w:pPr>
        <w:spacing w:after="120"/>
        <w:ind w:left="567"/>
        <w:jc w:val="both"/>
      </w:pPr>
      <w:r>
        <w:rPr>
          <w:rFonts w:ascii="Calibri" w:cs="Calibri" w:eastAsia="Calibri" w:hAnsi="Calibri"/>
          <w:sz w:val="22"/>
          <w:szCs w:val="22"/>
        </w:rPr>
        <w:t xml:space="preserve">Any applicant may respond within 7 days of service of the list, and any dispute be determined at a case event.</w:t>
      </w:r>
    </w:p>
    <w:p>
      <w:pPr>
        <w:tabs>
          <w:tab w:val="left" w:pos="567"/>
        </w:tabs>
        <w:spacing w:after="120" w:line="276"/>
        <w:ind w:left="567" w:hanging="567"/>
        <w:jc w:val="both"/>
      </w:pPr>
      <w:r>
        <w:rPr>
          <w:rFonts w:ascii="Calibri" w:cs="Calibri" w:eastAsia="Calibri" w:hAnsi="Calibri"/>
          <w:sz w:val="22"/>
          <w:szCs w:val="22"/>
        </w:rPr>
        <w:t xml:space="preserve">D4.	</w:t>
      </w:r>
      <w:r>
        <w:rPr>
          <w:rFonts w:ascii="Calibri" w:cs="Calibri" w:eastAsia="Calibri" w:hAnsi="Calibri"/>
          <w:b/>
          <w:bCs/>
          <w:sz w:val="22"/>
          <w:szCs w:val="22"/>
        </w:rPr>
        <w:t xml:space="preserve">Supplementary tender bundle. </w:t>
      </w:r>
      <w:r>
        <w:rPr>
          <w:rFonts w:ascii="Calibri" w:cs="Calibri" w:eastAsia="Calibri" w:hAnsi="Calibri"/>
          <w:sz w:val="22"/>
          <w:szCs w:val="22"/>
        </w:rPr>
        <w:t xml:space="preserve">Within 14 days of the determination of the section 70 application, the Respondent lodge and serve its supplementary tender bundle consisting of all documents required to be produced under section 23 of the ART Act, subject to any order of the Tribunal.</w:t>
      </w:r>
    </w:p>
    <w:p>
      <w:pPr>
        <w:tabs>
          <w:tab w:val="left" w:pos="567"/>
        </w:tabs>
        <w:spacing w:after="120" w:line="276"/>
        <w:ind w:left="567" w:hanging="567"/>
        <w:jc w:val="both"/>
      </w:pPr>
      <w:r>
        <w:rPr>
          <w:rFonts w:ascii="Calibri" w:cs="Calibri" w:eastAsia="Calibri" w:hAnsi="Calibri"/>
          <w:sz w:val="22"/>
          <w:szCs w:val="22"/>
        </w:rPr>
        <w:t xml:space="preserve">D5.	</w:t>
      </w:r>
      <w:r>
        <w:rPr>
          <w:rFonts w:ascii="Calibri" w:cs="Calibri" w:eastAsia="Calibri" w:hAnsi="Calibri"/>
          <w:b/>
          <w:bCs/>
          <w:sz w:val="22"/>
          <w:szCs w:val="22"/>
        </w:rPr>
        <w:t xml:space="preserve">Delegations. </w:t>
      </w:r>
      <w:r>
        <w:rPr>
          <w:rFonts w:ascii="Calibri" w:cs="Calibri" w:eastAsia="Calibri" w:hAnsi="Calibri"/>
          <w:sz w:val="22"/>
          <w:szCs w:val="22"/>
        </w:rPr>
        <w:t xml:space="preserve">Within 14 days, the Respondent serve the instrument of delegation under which each decision concerning the Third Applicant was made.</w:t>
      </w:r>
    </w:p>
    <w:p>
      <w:pPr>
        <w:tabs>
          <w:tab w:val="left" w:pos="567"/>
        </w:tabs>
        <w:spacing w:after="120" w:line="276"/>
        <w:ind w:left="567" w:hanging="567"/>
        <w:jc w:val="both"/>
      </w:pPr>
      <w:r>
        <w:rPr>
          <w:rFonts w:ascii="Calibri" w:cs="Calibri" w:eastAsia="Calibri" w:hAnsi="Calibri"/>
          <w:sz w:val="22"/>
          <w:szCs w:val="22"/>
        </w:rPr>
        <w:t xml:space="preserve">D6.	</w:t>
      </w:r>
      <w:r>
        <w:rPr>
          <w:rFonts w:ascii="Calibri" w:cs="Calibri" w:eastAsia="Calibri" w:hAnsi="Calibri"/>
          <w:b/>
          <w:bCs/>
          <w:sz w:val="22"/>
          <w:szCs w:val="22"/>
        </w:rPr>
        <w:t xml:space="preserve">Respondent's statement of case. </w:t>
      </w:r>
      <w:r>
        <w:rPr>
          <w:rFonts w:ascii="Calibri" w:cs="Calibri" w:eastAsia="Calibri" w:hAnsi="Calibri"/>
          <w:sz w:val="22"/>
          <w:szCs w:val="22"/>
        </w:rPr>
        <w:t xml:space="preserve">Pursuant to section 79 of the ART Act, within 21 days of service of the supplementary tender bundle, the Respondent file and serve a short statement identifying, in respect of the Third Applicant:</w:t>
      </w:r>
    </w:p>
    <w:p>
      <w:pPr>
        <w:tabs>
          <w:tab w:val="left" w:pos="1134"/>
        </w:tabs>
        <w:spacing w:after="80" w:line="276"/>
        <w:ind w:left="1134" w:hanging="567"/>
        <w:jc w:val="both"/>
      </w:pPr>
      <w:r>
        <w:rPr>
          <w:rFonts w:ascii="Calibri" w:cs="Calibri" w:eastAsia="Calibri" w:hAnsi="Calibri"/>
          <w:sz w:val="22"/>
          <w:szCs w:val="22"/>
        </w:rPr>
        <w:t xml:space="preserve">(a)	</w:t>
      </w:r>
      <w:r>
        <w:rPr>
          <w:rFonts w:ascii="Calibri" w:cs="Calibri" w:eastAsia="Calibri" w:hAnsi="Calibri"/>
          <w:sz w:val="22"/>
          <w:szCs w:val="22"/>
        </w:rPr>
        <w:t xml:space="preserve">the decision it will ask the Tribunal to make;</w:t>
      </w:r>
    </w:p>
    <w:p>
      <w:pPr>
        <w:tabs>
          <w:tab w:val="left" w:pos="1134"/>
        </w:tabs>
        <w:spacing w:after="80" w:line="276"/>
        <w:ind w:left="1134" w:hanging="567"/>
        <w:jc w:val="both"/>
      </w:pPr>
      <w:r>
        <w:rPr>
          <w:rFonts w:ascii="Calibri" w:cs="Calibri" w:eastAsia="Calibri" w:hAnsi="Calibri"/>
          <w:sz w:val="22"/>
          <w:szCs w:val="22"/>
        </w:rPr>
        <w:t xml:space="preserve">(b)	</w:t>
      </w:r>
      <w:r>
        <w:rPr>
          <w:rFonts w:ascii="Calibri" w:cs="Calibri" w:eastAsia="Calibri" w:hAnsi="Calibri"/>
          <w:sz w:val="22"/>
          <w:szCs w:val="22"/>
        </w:rPr>
        <w:t xml:space="preserve">the further or compelling reason it relies on for an order under section 73ZN(1)(a) (internal review at [37(a)]);</w:t>
      </w:r>
    </w:p>
    <w:p>
      <w:pPr>
        <w:tabs>
          <w:tab w:val="left" w:pos="1134"/>
        </w:tabs>
        <w:spacing w:after="80" w:line="276"/>
        <w:ind w:left="1134" w:hanging="567"/>
        <w:jc w:val="both"/>
      </w:pPr>
      <w:r>
        <w:rPr>
          <w:rFonts w:ascii="Calibri" w:cs="Calibri" w:eastAsia="Calibri" w:hAnsi="Calibri"/>
          <w:sz w:val="22"/>
          <w:szCs w:val="22"/>
        </w:rPr>
        <w:t xml:space="preserve">(c)	</w:t>
      </w:r>
      <w:r>
        <w:rPr>
          <w:rFonts w:ascii="Calibri" w:cs="Calibri" w:eastAsia="Calibri" w:hAnsi="Calibri"/>
          <w:sz w:val="22"/>
          <w:szCs w:val="22"/>
        </w:rPr>
        <w:t xml:space="preserve">by schedule, each claim relied on against the Third Applicant (participant, service dates and amount), noting any claim later cancelled, offset or repaid;</w:t>
      </w:r>
    </w:p>
    <w:p>
      <w:pPr>
        <w:tabs>
          <w:tab w:val="left" w:pos="1134"/>
        </w:tabs>
        <w:spacing w:after="80" w:line="276"/>
        <w:ind w:left="1134" w:hanging="567"/>
        <w:jc w:val="both"/>
      </w:pPr>
      <w:r>
        <w:rPr>
          <w:rFonts w:ascii="Calibri" w:cs="Calibri" w:eastAsia="Calibri" w:hAnsi="Calibri"/>
          <w:sz w:val="22"/>
          <w:szCs w:val="22"/>
        </w:rPr>
        <w:t xml:space="preserve">(d)	</w:t>
      </w:r>
      <w:r>
        <w:rPr>
          <w:rFonts w:ascii="Calibri" w:cs="Calibri" w:eastAsia="Calibri" w:hAnsi="Calibri"/>
          <w:sz w:val="22"/>
          <w:szCs w:val="22"/>
        </w:rPr>
        <w:t xml:space="preserve">the documents or statements (by tender reference) relied on for each matter, and any analysis of the claims on which it intends to rely; and</w:t>
      </w:r>
    </w:p>
    <w:p>
      <w:pPr>
        <w:tabs>
          <w:tab w:val="left" w:pos="1134"/>
        </w:tabs>
        <w:spacing w:after="80" w:line="276"/>
        <w:ind w:left="1134" w:hanging="567"/>
        <w:jc w:val="both"/>
      </w:pPr>
      <w:r>
        <w:rPr>
          <w:rFonts w:ascii="Calibri" w:cs="Calibri" w:eastAsia="Calibri" w:hAnsi="Calibri"/>
          <w:sz w:val="22"/>
          <w:szCs w:val="22"/>
        </w:rPr>
        <w:t xml:space="preserve">(e)	</w:t>
      </w:r>
      <w:r>
        <w:rPr>
          <w:rFonts w:ascii="Calibri" w:cs="Calibri" w:eastAsia="Calibri" w:hAnsi="Calibri"/>
          <w:sz w:val="22"/>
          <w:szCs w:val="22"/>
        </w:rPr>
        <w:t xml:space="preserve">each witness it intends to call, and each statement on which it intends to rely without calling its maker.</w:t>
      </w:r>
    </w:p>
    <w:p>
      <w:pPr>
        <w:tabs>
          <w:tab w:val="left" w:pos="567"/>
        </w:tabs>
        <w:spacing w:after="120" w:line="276"/>
        <w:ind w:left="567" w:hanging="567"/>
        <w:jc w:val="both"/>
      </w:pPr>
      <w:r>
        <w:rPr>
          <w:rFonts w:ascii="Calibri" w:cs="Calibri" w:eastAsia="Calibri" w:hAnsi="Calibri"/>
          <w:sz w:val="22"/>
          <w:szCs w:val="22"/>
        </w:rPr>
        <w:t xml:space="preserve">D7.	</w:t>
      </w:r>
      <w:r>
        <w:rPr>
          <w:rFonts w:ascii="Calibri" w:cs="Calibri" w:eastAsia="Calibri" w:hAnsi="Calibri"/>
          <w:b/>
          <w:bCs/>
          <w:sz w:val="22"/>
          <w:szCs w:val="22"/>
        </w:rPr>
        <w:t xml:space="preserve">Notice of further matters. </w:t>
      </w:r>
      <w:r>
        <w:rPr>
          <w:rFonts w:ascii="Calibri" w:cs="Calibri" w:eastAsia="Calibri" w:hAnsi="Calibri"/>
          <w:sz w:val="22"/>
          <w:szCs w:val="22"/>
        </w:rPr>
        <w:t xml:space="preserve">If the Respondent seeks to rely at the hearing on any allegation not identified under direction D6, it give written notice identifying the allegation and the evidence relied on, and the applicants have a reasonable opportunity to respond.</w:t>
      </w:r>
    </w:p>
    <w:p>
      <w:pPr>
        <w:tabs>
          <w:tab w:val="left" w:pos="567"/>
        </w:tabs>
        <w:spacing w:after="120" w:line="276"/>
        <w:ind w:left="567" w:hanging="567"/>
        <w:jc w:val="both"/>
      </w:pPr>
      <w:r>
        <w:rPr>
          <w:rFonts w:ascii="Calibri" w:cs="Calibri" w:eastAsia="Calibri" w:hAnsi="Calibri"/>
          <w:sz w:val="22"/>
          <w:szCs w:val="22"/>
        </w:rPr>
        <w:t xml:space="preserve">D8.	</w:t>
      </w:r>
      <w:r>
        <w:rPr>
          <w:rFonts w:ascii="Calibri" w:cs="Calibri" w:eastAsia="Calibri" w:hAnsi="Calibri"/>
          <w:b/>
          <w:bCs/>
          <w:sz w:val="22"/>
          <w:szCs w:val="22"/>
        </w:rPr>
        <w:t xml:space="preserve">Applicants' SFICs and evidence. </w:t>
      </w:r>
      <w:r>
        <w:rPr>
          <w:rFonts w:ascii="Calibri" w:cs="Calibri" w:eastAsia="Calibri" w:hAnsi="Calibri"/>
          <w:sz w:val="22"/>
          <w:szCs w:val="22"/>
        </w:rPr>
        <w:t xml:space="preserve">Each applicant file and serve an updated SFIC and any evidence on which that applicant elects to rely within 28 days after service of the statement under direction D6.</w:t>
      </w:r>
    </w:p>
    <w:p>
      <w:pPr>
        <w:tabs>
          <w:tab w:val="left" w:pos="567"/>
        </w:tabs>
        <w:spacing w:after="120" w:line="276"/>
        <w:ind w:left="567" w:hanging="567"/>
        <w:jc w:val="both"/>
      </w:pPr>
      <w:r>
        <w:rPr>
          <w:rFonts w:ascii="Calibri" w:cs="Calibri" w:eastAsia="Calibri" w:hAnsi="Calibri"/>
          <w:sz w:val="22"/>
          <w:szCs w:val="22"/>
        </w:rPr>
        <w:t xml:space="preserve">D9.	</w:t>
      </w:r>
      <w:r>
        <w:rPr>
          <w:rFonts w:ascii="Calibri" w:cs="Calibri" w:eastAsia="Calibri" w:hAnsi="Calibri"/>
          <w:b/>
          <w:bCs/>
          <w:sz w:val="22"/>
          <w:szCs w:val="22"/>
        </w:rPr>
        <w:t xml:space="preserve">Respondent's SFIC and evidence. </w:t>
      </w:r>
      <w:r>
        <w:rPr>
          <w:rFonts w:ascii="Calibri" w:cs="Calibri" w:eastAsia="Calibri" w:hAnsi="Calibri"/>
          <w:sz w:val="22"/>
          <w:szCs w:val="22"/>
        </w:rPr>
        <w:t xml:space="preserve">The Respondent file and serve its SFIC and any further evidence within 28 days after direction D8.</w:t>
      </w:r>
    </w:p>
    <w:p>
      <w:pPr>
        <w:tabs>
          <w:tab w:val="left" w:pos="567"/>
        </w:tabs>
        <w:spacing w:after="120" w:line="276"/>
        <w:ind w:left="567" w:hanging="567"/>
        <w:jc w:val="both"/>
      </w:pPr>
      <w:r>
        <w:rPr>
          <w:rFonts w:ascii="Calibri" w:cs="Calibri" w:eastAsia="Calibri" w:hAnsi="Calibri"/>
          <w:sz w:val="22"/>
          <w:szCs w:val="22"/>
        </w:rPr>
        <w:t xml:space="preserve">D10.	</w:t>
      </w:r>
      <w:r>
        <w:rPr>
          <w:rFonts w:ascii="Calibri" w:cs="Calibri" w:eastAsia="Calibri" w:hAnsi="Calibri"/>
          <w:b/>
          <w:bCs/>
          <w:sz w:val="22"/>
          <w:szCs w:val="22"/>
        </w:rPr>
        <w:t xml:space="preserve">Reply. </w:t>
      </w:r>
      <w:r>
        <w:rPr>
          <w:rFonts w:ascii="Calibri" w:cs="Calibri" w:eastAsia="Calibri" w:hAnsi="Calibri"/>
          <w:sz w:val="22"/>
          <w:szCs w:val="22"/>
        </w:rPr>
        <w:t xml:space="preserve">Any applicant file and serve any reply within 14 days after direction D9.</w:t>
      </w:r>
    </w:p>
    <w:p>
      <w:pPr>
        <w:tabs>
          <w:tab w:val="left" w:pos="567"/>
        </w:tabs>
        <w:spacing w:after="120" w:line="276"/>
        <w:ind w:left="567" w:hanging="567"/>
        <w:jc w:val="both"/>
      </w:pPr>
      <w:r>
        <w:rPr>
          <w:rFonts w:ascii="Calibri" w:cs="Calibri" w:eastAsia="Calibri" w:hAnsi="Calibri"/>
          <w:sz w:val="22"/>
          <w:szCs w:val="22"/>
        </w:rPr>
        <w:t xml:space="preserve">D11.	</w:t>
      </w:r>
      <w:r>
        <w:rPr>
          <w:rFonts w:ascii="Calibri" w:cs="Calibri" w:eastAsia="Calibri" w:hAnsi="Calibri"/>
          <w:b/>
          <w:bCs/>
          <w:sz w:val="22"/>
          <w:szCs w:val="22"/>
        </w:rPr>
        <w:t xml:space="preserve">Cross-examination. </w:t>
      </w:r>
      <w:r>
        <w:rPr>
          <w:rFonts w:ascii="Calibri" w:cs="Calibri" w:eastAsia="Calibri" w:hAnsi="Calibri"/>
          <w:sz w:val="22"/>
          <w:szCs w:val="22"/>
        </w:rPr>
        <w:t xml:space="preserve">Within 14 days after direction D9, any applicant may serve a notice identifying each statement-maker whose attendance is sought for cross-examination and the reasons, without limiting the matters on which that person may be cross-examined. Any dispute, and any protective arrangements for participants, be determined at a case event.</w:t>
      </w:r>
    </w:p>
    <w:p>
      <w:pPr>
        <w:tabs>
          <w:tab w:val="left" w:pos="567"/>
        </w:tabs>
        <w:spacing w:after="120" w:line="276"/>
        <w:ind w:left="567" w:hanging="567"/>
        <w:jc w:val="both"/>
      </w:pPr>
      <w:r>
        <w:rPr>
          <w:rFonts w:ascii="Calibri" w:cs="Calibri" w:eastAsia="Calibri" w:hAnsi="Calibri"/>
          <w:sz w:val="22"/>
          <w:szCs w:val="22"/>
        </w:rPr>
        <w:t xml:space="preserve">D12.	</w:t>
      </w:r>
      <w:r>
        <w:rPr>
          <w:rFonts w:ascii="Calibri" w:cs="Calibri" w:eastAsia="Calibri" w:hAnsi="Calibri"/>
          <w:b/>
          <w:bCs/>
          <w:sz w:val="22"/>
          <w:szCs w:val="22"/>
        </w:rPr>
        <w:t xml:space="preserve">Listing. </w:t>
      </w:r>
      <w:r>
        <w:rPr>
          <w:rFonts w:ascii="Calibri" w:cs="Calibri" w:eastAsia="Calibri" w:hAnsi="Calibri"/>
          <w:sz w:val="22"/>
          <w:szCs w:val="22"/>
        </w:rPr>
        <w:t xml:space="preserve">The matters be listed for final hearing on the first available date after direction D10. The hearing estimate be fixed at a short case event after direction D11, taking account of witnesses and interpreter arrangements.</w:t>
      </w:r>
    </w:p>
    <w:p>
      <w:pPr>
        <w:tabs>
          <w:tab w:val="left" w:pos="567"/>
        </w:tabs>
        <w:spacing w:after="120" w:line="276"/>
        <w:ind w:left="567" w:hanging="567"/>
        <w:jc w:val="both"/>
      </w:pPr>
      <w:r>
        <w:rPr>
          <w:rFonts w:ascii="Calibri" w:cs="Calibri" w:eastAsia="Calibri" w:hAnsi="Calibri"/>
          <w:sz w:val="22"/>
          <w:szCs w:val="22"/>
        </w:rPr>
        <w:t xml:space="preserve">D13.	</w:t>
      </w:r>
      <w:r>
        <w:rPr>
          <w:rFonts w:ascii="Calibri" w:cs="Calibri" w:eastAsia="Calibri" w:hAnsi="Calibri"/>
          <w:b/>
          <w:bCs/>
          <w:sz w:val="22"/>
          <w:szCs w:val="22"/>
        </w:rPr>
        <w:t xml:space="preserve">Alternative sequence. </w:t>
      </w:r>
      <w:r>
        <w:rPr>
          <w:rFonts w:ascii="Calibri" w:cs="Calibri" w:eastAsia="Calibri" w:hAnsi="Calibri"/>
          <w:sz w:val="22"/>
          <w:szCs w:val="22"/>
        </w:rPr>
        <w:t xml:space="preserve">If the Tribunal prefers the sequence proposed by the Respondent, the applicants' SFICs be due 28 days after the later of service of the supplementary tender bundle and the determination of the section 70 application, and the Respondent's statement under direction D6 be filed and served no later than 14 days before that date.</w:t>
      </w:r>
    </w:p>
    <w:p>
      <w:pPr>
        <w:tabs>
          <w:tab w:val="left" w:pos="567"/>
        </w:tabs>
        <w:spacing w:after="120" w:line="276"/>
        <w:ind w:left="567" w:hanging="567"/>
        <w:jc w:val="both"/>
      </w:pPr>
      <w:r>
        <w:rPr>
          <w:rFonts w:ascii="Calibri" w:cs="Calibri" w:eastAsia="Calibri" w:hAnsi="Calibri"/>
          <w:sz w:val="22"/>
          <w:szCs w:val="22"/>
        </w:rPr>
        <w:t xml:space="preserve">D14.	</w:t>
      </w:r>
      <w:r>
        <w:rPr>
          <w:rFonts w:ascii="Calibri" w:cs="Calibri" w:eastAsia="Calibri" w:hAnsi="Calibri"/>
          <w:b/>
          <w:bCs/>
          <w:sz w:val="22"/>
          <w:szCs w:val="22"/>
        </w:rPr>
        <w:t xml:space="preserve">Previous directions. </w:t>
      </w:r>
      <w:r>
        <w:rPr>
          <w:rFonts w:ascii="Calibri" w:cs="Calibri" w:eastAsia="Calibri" w:hAnsi="Calibri"/>
          <w:sz w:val="22"/>
          <w:szCs w:val="22"/>
        </w:rPr>
        <w:t xml:space="preserve">The directions of 15 May 2024 (as varied on 17 June 2024), to the extent they remain in force, be vacated.</w:t>
      </w:r>
    </w:p>
    <w:p>
      <w:pPr>
        <w:tabs>
          <w:tab w:val="left" w:pos="567"/>
        </w:tabs>
        <w:spacing w:after="120" w:line="276"/>
        <w:ind w:left="567" w:hanging="567"/>
        <w:jc w:val="both"/>
      </w:pPr>
      <w:r>
        <w:rPr>
          <w:rFonts w:ascii="Calibri" w:cs="Calibri" w:eastAsia="Calibri" w:hAnsi="Calibri"/>
          <w:sz w:val="22"/>
          <w:szCs w:val="22"/>
        </w:rPr>
        <w:t xml:space="preserve">D15.	</w:t>
      </w:r>
      <w:r>
        <w:rPr>
          <w:rFonts w:ascii="Calibri" w:cs="Calibri" w:eastAsia="Calibri" w:hAnsi="Calibri"/>
          <w:b/>
          <w:bCs/>
          <w:sz w:val="22"/>
          <w:szCs w:val="22"/>
        </w:rPr>
        <w:t xml:space="preserve">Liberty to apply </w:t>
      </w:r>
      <w:r>
        <w:rPr>
          <w:rFonts w:ascii="Calibri" w:cs="Calibri" w:eastAsia="Calibri" w:hAnsi="Calibri"/>
          <w:sz w:val="22"/>
          <w:szCs w:val="22"/>
        </w:rPr>
        <w:t xml:space="preserve">on reasonable notice, including for the issue of summonses under section 74 of the ART Act.</w:t>
      </w:r>
    </w:p>
    <w:p>
      <w:pPr>
        <w:spacing w:before="480"/>
      </w:pPr>
      <w:r>
        <w:rPr>
          <w:rFonts w:ascii="Calibri" w:cs="Calibri" w:eastAsia="Calibri" w:hAnsi="Calibri"/>
          <w:sz w:val="22"/>
          <w:szCs w:val="22"/>
        </w:rPr>
        <w:t xml:space="preserve">Dated: ______________________ 2026</w:t>
      </w:r>
    </w:p>
    <w:p>
      <w:pPr>
        <w:spacing w:before="600"/>
      </w:pPr>
      <w:r>
        <w:rPr>
          <w:rFonts w:ascii="Calibri" w:cs="Calibri" w:eastAsia="Calibri" w:hAnsi="Calibri"/>
          <w:sz w:val="22"/>
          <w:szCs w:val="22"/>
        </w:rPr>
        <w:t xml:space="preserve">________________________________</w:t>
      </w:r>
    </w:p>
    <w:p>
      <w:r>
        <w:rPr>
          <w:rFonts w:ascii="Calibri" w:cs="Calibri" w:eastAsia="Calibri" w:hAnsi="Calibri"/>
          <w:b/>
          <w:bCs/>
          <w:sz w:val="22"/>
          <w:szCs w:val="22"/>
        </w:rPr>
        <w:t xml:space="preserve">Simon Reid</w:t>
      </w:r>
    </w:p>
    <w:p>
      <w:r>
        <w:rPr>
          <w:rFonts w:ascii="Calibri" w:cs="Calibri" w:eastAsia="Calibri" w:hAnsi="Calibri"/>
          <w:sz w:val="22"/>
          <w:szCs w:val="22"/>
        </w:rPr>
        <w:t xml:space="preserve">Director, for and on behalf of the Third Applicant, Forward Focused Group Pty Ltd</w:t>
      </w:r>
    </w:p>
    <w:sectPr>
      <w:pgSz w:w="11906" w:h="16838" w:orient="portrait"/>
      <w:pgMar w:top="1134" w:right="1304"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2026-09-26T17:02:00.363Z</dcterms:created>
  <dcterms:modified xsi:type="dcterms:W3CDTF">2026-09-26T17:02:00.363Z</dcterms:modified>
</cp:coreProperties>
</file>

<file path=docProps/custom.xml><?xml version="1.0" encoding="utf-8"?>
<Properties xmlns="http://schemas.openxmlformats.org/officeDocument/2006/custom-properties" xmlns:vt="http://schemas.openxmlformats.org/officeDocument/2006/docPropsVTypes"/>
</file>