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00000"/>
          <w:sz w:val="16"/>
          <w:szCs w:val="16"/>
        </w:rPr>
        <w:t xml:space="preserve">PRIVILEGED &amp; CONFIDENTIAL — PREPARED FOR THE PURPOSE OF LITIGATION</w:t>
      </w:r>
    </w:p>
    <w:p>
      <w:pPr>
        <w:spacing w:after="60"/>
      </w:pPr>
      <w:r>
        <w:rPr>
          <w:rFonts w:ascii="Calibri" w:cs="Calibri" w:eastAsia="Calibri" w:hAnsi="Calibri"/>
          <w:b/>
          <w:bCs/>
          <w:color w:val="1F3864"/>
          <w:sz w:val="32"/>
          <w:szCs w:val="32"/>
        </w:rPr>
        <w:t xml:space="preserve">Review Pack v6: GPT review checked, what changed, filing checklist</w:t>
      </w:r>
    </w:p>
    <w:p>
      <w:pPr>
        <w:spacing w:after="100" w:line="264"/>
      </w:pPr>
      <w:r>
        <w:rPr>
          <w:rFonts w:ascii="Calibri" w:cs="Calibri" w:eastAsia="Calibri" w:hAnsi="Calibri"/>
          <w:i/>
          <w:iCs/>
          <w:sz w:val="21"/>
          <w:szCs w:val="21"/>
        </w:rPr>
        <w:t xml:space="preserve">ART 2023/3361, 2023/3363, 2023/4494. 27 September 2026. Replaces the v5 review pack. Each point was checked against the primary document named. Nothing has been sent or filed.</w:t>
      </w:r>
    </w:p>
    <w:p>
      <w:pPr>
        <w:pStyle w:val="Heading1"/>
        <w:spacing w:after="120" w:before="240"/>
      </w:pPr>
      <w:r>
        <w:rPr>
          <w:rFonts w:ascii="Calibri" w:cs="Calibri" w:eastAsia="Calibri" w:hAnsi="Calibri"/>
          <w:b/>
          <w:bCs/>
          <w:color w:val="1F3864"/>
          <w:sz w:val="26"/>
          <w:szCs w:val="26"/>
        </w:rPr>
        <w:t xml:space="preserve">1. Bottom line</w:t>
      </w:r>
    </w:p>
    <w:p>
      <w:pPr>
        <w:pStyle w:val="ListParagraph"/>
        <w:numPr>
          <w:ilvl w:val="0"/>
          <w:numId w:val="2"/>
        </w:numPr>
        <w:spacing w:after="60" w:line="252"/>
      </w:pPr>
      <w:r>
        <w:rPr>
          <w:rFonts w:ascii="Calibri" w:cs="Calibri" w:eastAsia="Calibri" w:hAnsi="Calibri"/>
          <w:b/>
          <w:bCs/>
          <w:sz w:val="21"/>
          <w:szCs w:val="21"/>
        </w:rPr>
        <w:t xml:space="preserve">GPT's review is mostly right. </w:t>
      </w:r>
      <w:r>
        <w:rPr>
          <w:rFonts w:ascii="Calibri" w:cs="Calibri" w:eastAsia="Calibri" w:hAnsi="Calibri"/>
          <w:sz w:val="21"/>
          <w:szCs w:val="21"/>
        </w:rPr>
        <w:t xml:space="preserve">I checked each of its main points against the primary documents. Most of the errors it found were in my v5 review pack and summary; fewer were in the filings.</w:t>
      </w:r>
    </w:p>
    <w:p>
      <w:pPr>
        <w:pStyle w:val="ListParagraph"/>
        <w:numPr>
          <w:ilvl w:val="0"/>
          <w:numId w:val="2"/>
        </w:numPr>
        <w:spacing w:after="60" w:line="252"/>
      </w:pPr>
      <w:r>
        <w:rPr>
          <w:rFonts w:ascii="Calibri" w:cs="Calibri" w:eastAsia="Calibri" w:hAnsi="Calibri"/>
          <w:b/>
          <w:bCs/>
          <w:sz w:val="21"/>
          <w:szCs w:val="21"/>
        </w:rPr>
        <w:t xml:space="preserve">Three of my v5 statements were wrong: </w:t>
      </w:r>
      <w:r>
        <w:rPr>
          <w:rFonts w:ascii="Calibri" w:cs="Calibri" w:eastAsia="Calibri" w:hAnsi="Calibri"/>
          <w:sz w:val="21"/>
          <w:szCs w:val="21"/>
        </w:rPr>
        <w:t xml:space="preserve">(a) AGS proposes a two-day hearing, not a "paper hearing" (minute of 14 Aug 2026, order 5); (b) Simon's internal review did identify a process, "the ongoing investigation by the NDIA and law enforcement agencies" ([46]); (c) FFG's internal review did give its own reasons for the ban ([66]).</w:t>
      </w:r>
    </w:p>
    <w:p>
      <w:pPr>
        <w:pStyle w:val="ListParagraph"/>
        <w:numPr>
          <w:ilvl w:val="0"/>
          <w:numId w:val="2"/>
        </w:numPr>
        <w:spacing w:after="60" w:line="252"/>
      </w:pPr>
      <w:r>
        <w:rPr>
          <w:rFonts w:ascii="Calibri" w:cs="Calibri" w:eastAsia="Calibri" w:hAnsi="Calibri"/>
          <w:b/>
          <w:bCs/>
          <w:sz w:val="21"/>
          <w:szCs w:val="21"/>
        </w:rPr>
        <w:t xml:space="preserve">My advice to correct old misquotes "quietly" was wrong. </w:t>
      </w:r>
      <w:r>
        <w:rPr>
          <w:rFonts w:ascii="Calibri" w:cs="Calibri" w:eastAsia="Calibri" w:hAnsi="Calibri"/>
          <w:sz w:val="21"/>
          <w:szCs w:val="21"/>
        </w:rPr>
        <w:t xml:space="preserve">The case turns on suitability, which includes honesty. AGS is likely to have noticed them already, and the Tribunal now has a generative AI practice direction. v6 adds a short correction document for Simon and one for Vida.</w:t>
      </w:r>
    </w:p>
    <w:p>
      <w:pPr>
        <w:pStyle w:val="ListParagraph"/>
        <w:numPr>
          <w:ilvl w:val="0"/>
          <w:numId w:val="2"/>
        </w:numPr>
        <w:spacing w:after="60" w:line="252"/>
      </w:pPr>
      <w:r>
        <w:rPr>
          <w:rFonts w:ascii="Calibri" w:cs="Calibri" w:eastAsia="Calibri" w:hAnsi="Calibri"/>
          <w:b/>
          <w:bCs/>
          <w:sz w:val="21"/>
          <w:szCs w:val="21"/>
        </w:rPr>
        <w:t xml:space="preserve">The v6 timetable takes the same time as AGS's own (84 days), </w:t>
      </w:r>
      <w:r>
        <w:rPr>
          <w:rFonts w:ascii="Calibri" w:cs="Calibri" w:eastAsia="Calibri" w:hAnsi="Calibri"/>
          <w:sz w:val="21"/>
          <w:szCs w:val="21"/>
        </w:rPr>
        <w:t xml:space="preserve">so AGS can't call it delay. It still gets you AGS's case against each of you before you file.</w:t>
      </w:r>
    </w:p>
    <w:p>
      <w:pPr>
        <w:pStyle w:val="ListParagraph"/>
        <w:numPr>
          <w:ilvl w:val="0"/>
          <w:numId w:val="2"/>
        </w:numPr>
        <w:spacing w:after="60" w:line="252"/>
      </w:pPr>
      <w:r>
        <w:rPr>
          <w:rFonts w:ascii="Calibri" w:cs="Calibri" w:eastAsia="Calibri" w:hAnsi="Calibri"/>
          <w:b/>
          <w:bCs/>
          <w:sz w:val="21"/>
          <w:szCs w:val="21"/>
        </w:rPr>
        <w:t xml:space="preserve">Before signing, each of you must check every quote yourself </w:t>
      </w:r>
      <w:r>
        <w:rPr>
          <w:rFonts w:ascii="Calibri" w:cs="Calibri" w:eastAsia="Calibri" w:hAnsi="Calibri"/>
          <w:sz w:val="21"/>
          <w:szCs w:val="21"/>
        </w:rPr>
        <w:t xml:space="preserve">using the Source Check Sheet. The documents now say you did.</w:t>
      </w:r>
    </w:p>
    <w:p>
      <w:pPr>
        <w:pStyle w:val="Heading1"/>
        <w:spacing w:after="120" w:before="240"/>
      </w:pPr>
      <w:r>
        <w:rPr>
          <w:rFonts w:ascii="Calibri" w:cs="Calibri" w:eastAsia="Calibri" w:hAnsi="Calibri"/>
          <w:b/>
          <w:bCs/>
          <w:color w:val="1F3864"/>
          <w:sz w:val="26"/>
          <w:szCs w:val="26"/>
        </w:rPr>
        <w:t xml:space="preserve">2. GPT's points: verdict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2600"/>
        <w:gridCol w:w="2626"/>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GPT said</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Verdict</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Checked against</w:t>
            </w:r>
          </w:p>
        </w:tc>
        <w:tc>
          <w:tcPr>
            <w:tcW w:type="dxa" w:w="262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In v6</w:t>
            </w:r>
          </w:p>
        </w:tc>
      </w:tr>
      <w:tr>
        <w:trPr>
          <w:tblHeader w:val="false"/>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AGS's minute asks for a 2-day hearing, not a decision on the papers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Right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Minute 14 Aug 2026, order 5</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Pack corrected. v6 asks for an oral hearing on [38](b)–(c)</w:t>
            </w:r>
          </w:p>
        </w:tc>
      </w:tr>
      <w:tr>
        <w:trPr>
          <w:tblHeader w:val="false"/>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Simon's IR [46] identifies an investigation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Right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Simon IR [46]–[47]</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Para 4 quotes [46] and adds AGS 28 Feb 2024 [6]: no brief sent to the CDPP</w:t>
            </w:r>
          </w:p>
        </w:tc>
      </w:tr>
      <w:tr>
        <w:trPr>
          <w:tblHeader w:val="false"/>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FFG's IR gave reasons for the ban at [66]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Right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FFG IR [36]–[37], [62]–[68]</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FFG para 11 disputes [66] and asks whether AGS maintains it</w:t>
            </w:r>
          </w:p>
        </w:tc>
      </w:tr>
      <w:tr>
        <w:trPr>
          <w:tblHeader w:val="false"/>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FFG para 8 used the individuals' s 73ZN(2) test</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Right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FFG IR [62]</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FFG para 9 separates s 73ZN(1)(a)</w:t>
            </w:r>
          </w:p>
        </w:tc>
      </w:tr>
      <w:tr>
        <w:trPr>
          <w:tblHeader w:val="false"/>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Vida para 2 ("makes no findings") too broad</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Right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Decision [33]–[39]</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Reworded</w:t>
            </w:r>
          </w:p>
        </w:tc>
      </w:tr>
      <w:tr>
        <w:trPr>
          <w:tblHeader w:val="false"/>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D13 clashed with D6; "after direction D8" unclear</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Right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v5 text</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Timetable rebuilt; alternative (D12) no longer clashes</w:t>
            </w:r>
          </w:p>
        </w:tc>
      </w:tr>
      <w:tr>
        <w:trPr>
          <w:tblHeader w:val="false"/>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Withholding orders last "until further order"</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Right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Orders 12 Sep 2023 and 26 Jul 2024</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D3 asks the Tribunal to decide whether to vary order 2</w:t>
            </w:r>
          </w:p>
        </w:tc>
      </w:tr>
      <w:tr>
        <w:trPr>
          <w:tblHeader w:val="false"/>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Correct the misquotes openly</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Right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Vida filings Jan–Sep 2025; Simon 25 Mar 2025</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Two correction documents</w:t>
            </w:r>
          </w:p>
        </w:tc>
      </w:tr>
      <w:tr>
        <w:trPr>
          <w:tblHeader w:val="false"/>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"One consistent account" risks suppressing the truth</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Right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Each gives their own truthful account; separate advice if your interests conflict</w:t>
            </w:r>
          </w:p>
        </w:tc>
      </w:tr>
      <w:tr>
        <w:trPr>
          <w:tblHeader w:val="false"/>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"Drop the service point entirely" overstated</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Partly</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Tom &amp; Co 30 Nov 2022 covers Simon's notice only</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Don't press it (little value in merits review). If asked, answer document by document</w:t>
            </w:r>
          </w:p>
        </w:tc>
      </w:tr>
      <w:tr>
        <w:trPr>
          <w:tblHeader w:val="false"/>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"Promises not kept" overstated</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Right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AGS 7 May 2026 ("once ordered"); AGS emails 31 Jul and 6 Aug 2024; 17 Jun 2024 directions vacated 3 Oct 2024</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Never say AGS "never filed" its 2024 SFIC</w:t>
            </w:r>
          </w:p>
        </w:tc>
      </w:tr>
      <w:tr>
        <w:trPr>
          <w:tblHeader w:val="false"/>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Simon's 7 Nov 2025 email reserved an oral hearing</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Right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Gmail, sent to Registry</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Used, together with the "primarily on the papers" words</w:t>
            </w:r>
          </w:p>
        </w:tc>
      </w:tr>
      <w:tr>
        <w:trPr>
          <w:tblHeader w:val="false"/>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ART generative AI practice direction applies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Right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Practice direction dated 20 Aug 2026</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Disclosure line added; checks are mandatory (section 4)</w:t>
            </w:r>
          </w:p>
        </w:tc>
      </w:tr>
      <w:tr>
        <w:trPr>
          <w:tblHeader w:val="false"/>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Paper decision without consent possible (s 106(6)–(7))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Right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ART Act compilation 18 May 2026</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v6 gives reasons for an oral hearing</w:t>
            </w:r>
          </w:p>
        </w:tc>
      </w:tr>
      <w:tr>
        <w:trPr>
          <w:tblHeader w:val="false"/>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2026 amendments and Khalil</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Right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Act 41/2026 (in force 9 Apr 2026, no saving clause); Khalil [2025] HCA 33 [15]–[21]</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Still asks AGS whether it relies on them; Sunflower paragraph now includes the [134] qualification</w:t>
            </w:r>
          </w:p>
        </w:tc>
      </w:tr>
      <w:tr>
        <w:trPr>
          <w:tblHeader w:val="false"/>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FOI: specific emails missing, not whole months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Right (spot-checked)</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FOI sets 2 and 3; notice vs schedule</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My "Oct–Jan missing" claim withdrawn</w:t>
            </w:r>
          </w:p>
        </w:tc>
      </w:tr>
      <w:tr>
        <w:trPr>
          <w:tblHeader w:val="false"/>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Recordings: preserve, don't destroy, tell your lawyer</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Right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Section 5</w:t>
            </w:r>
          </w:p>
        </w:tc>
      </w:tr>
      <w:tr>
        <w:trPr>
          <w:tblHeader w:val="false"/>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"Available on any date" is an unverified promise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Right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Covering email changed</w:t>
            </w:r>
          </w:p>
        </w:tc>
      </w:tr>
    </w:tbl>
    <w:p>
      <w:pPr>
        <w:spacing w:after="100" w:line="264"/>
      </w:pPr>
      <w:r>
        <w:rPr>
          <w:rFonts w:ascii="Calibri" w:cs="Calibri" w:eastAsia="Calibri" w:hAnsi="Calibri"/>
          <w:b/>
          <w:bCs/>
          <w:sz w:val="21"/>
          <w:szCs w:val="21"/>
        </w:rPr>
        <w:t xml:space="preserve">Where GPT was wrong or overstated: </w:t>
      </w:r>
    </w:p>
    <w:p>
      <w:pPr>
        <w:pStyle w:val="ListParagraph"/>
        <w:numPr>
          <w:ilvl w:val="0"/>
          <w:numId w:val="2"/>
        </w:numPr>
        <w:spacing w:after="60" w:line="252"/>
      </w:pPr>
      <w:r>
        <w:rPr>
          <w:rFonts w:ascii="Calibri" w:cs="Calibri" w:eastAsia="Calibri" w:hAnsi="Calibri"/>
          <w:sz w:val="21"/>
          <w:szCs w:val="21"/>
        </w:rPr>
        <w:t xml:space="preserve">It cited the Common Procedures direction at 5.3–5.9 for paper hearings. Only 5.8–5.9 deal with that, and the 2024 direction was replaced on 2 March 2026. The recording rules are still 5.16 and 5.18.</w:t>
      </w:r>
    </w:p>
    <w:p>
      <w:pPr>
        <w:pStyle w:val="ListParagraph"/>
        <w:numPr>
          <w:ilvl w:val="0"/>
          <w:numId w:val="2"/>
        </w:numPr>
        <w:spacing w:after="60" w:line="252"/>
      </w:pPr>
      <w:r>
        <w:rPr>
          <w:rFonts w:ascii="Calibri" w:cs="Calibri" w:eastAsia="Calibri" w:hAnsi="Calibri"/>
          <w:sz w:val="21"/>
          <w:szCs w:val="21"/>
        </w:rPr>
        <w:t xml:space="preserve">It called v5's Sunflower paragraph "over-broad". It matched [128] and [134]. It was one-sided, not wrong, but it has been balanced anyway.</w:t>
      </w:r>
    </w:p>
    <w:p>
      <w:pPr>
        <w:pStyle w:val="ListParagraph"/>
        <w:numPr>
          <w:ilvl w:val="0"/>
          <w:numId w:val="2"/>
        </w:numPr>
        <w:spacing w:after="60" w:line="252"/>
      </w:pPr>
      <w:r>
        <w:rPr>
          <w:rFonts w:ascii="Calibri" w:cs="Calibri" w:eastAsia="Calibri" w:hAnsi="Calibri"/>
          <w:sz w:val="21"/>
          <w:szCs w:val="21"/>
        </w:rPr>
        <w:t xml:space="preserve">It said the 105-day sequence was "not particularly short". v6 fixes this differently: AGS's statement of case now comes with the bundle, which makes the sequence 84 days.</w:t>
      </w:r>
    </w:p>
    <w:p>
      <w:pPr>
        <w:pStyle w:val="Heading1"/>
        <w:spacing w:after="120" w:before="240"/>
      </w:pPr>
      <w:r>
        <w:rPr>
          <w:rFonts w:ascii="Calibri" w:cs="Calibri" w:eastAsia="Calibri" w:hAnsi="Calibri"/>
          <w:b/>
          <w:bCs/>
          <w:color w:val="1F3864"/>
          <w:sz w:val="26"/>
          <w:szCs w:val="26"/>
        </w:rPr>
        <w:t xml:space="preserve">3. New points found while checking</w:t>
      </w:r>
    </w:p>
    <w:p>
      <w:pPr>
        <w:pStyle w:val="ListParagraph"/>
        <w:numPr>
          <w:ilvl w:val="0"/>
          <w:numId w:val="2"/>
        </w:numPr>
        <w:spacing w:after="60" w:line="252"/>
      </w:pPr>
      <w:r>
        <w:rPr>
          <w:rFonts w:ascii="Calibri" w:cs="Calibri" w:eastAsia="Calibri" w:hAnsi="Calibri"/>
          <w:b/>
          <w:bCs/>
          <w:sz w:val="21"/>
          <w:szCs w:val="21"/>
        </w:rPr>
        <w:t xml:space="preserve">Simon's s 70 submissions (19 May 2026) contain errors </w:t>
      </w:r>
      <w:r>
        <w:rPr>
          <w:rFonts w:ascii="Calibri" w:cs="Calibri" w:eastAsia="Calibri" w:hAnsi="Calibri"/>
          <w:sz w:val="21"/>
          <w:szCs w:val="21"/>
        </w:rPr>
        <w:t xml:space="preserve">the Tribunal may rely on when it decides the s 70 application: [15] says "SL is Ms Sian Leathem" (an assumption from initials); [27] describes Southcorp wrongly; [29] puts a paraphrase of Bennett in quotation marks; the covering email gives the wrong page for Mann v Carnell. All are corrected in Simon's correction document.</w:t>
      </w:r>
    </w:p>
    <w:p>
      <w:pPr>
        <w:pStyle w:val="ListParagraph"/>
        <w:numPr>
          <w:ilvl w:val="0"/>
          <w:numId w:val="2"/>
        </w:numPr>
        <w:spacing w:after="60" w:line="252"/>
      </w:pPr>
      <w:r>
        <w:rPr>
          <w:rFonts w:ascii="Calibri" w:cs="Calibri" w:eastAsia="Calibri" w:hAnsi="Calibri"/>
          <w:b/>
          <w:bCs/>
          <w:sz w:val="21"/>
          <w:szCs w:val="21"/>
        </w:rPr>
        <w:t xml:space="preserve">Simon's 25 Mar 2025 letter </w:t>
      </w:r>
      <w:r>
        <w:rPr>
          <w:rFonts w:ascii="Calibri" w:cs="Calibri" w:eastAsia="Calibri" w:hAnsi="Calibri"/>
          <w:sz w:val="21"/>
          <w:szCs w:val="21"/>
        </w:rPr>
        <w:t xml:space="preserve">contains an invented quotation from his internal review and "the charges underpinning my ban" (he was never charged). It also cites rules and cases that don't support what they were cited for. These are corrected or withdrawn.</w:t>
      </w:r>
    </w:p>
    <w:p>
      <w:pPr>
        <w:pStyle w:val="ListParagraph"/>
        <w:numPr>
          <w:ilvl w:val="0"/>
          <w:numId w:val="2"/>
        </w:numPr>
        <w:spacing w:after="60" w:line="252"/>
      </w:pPr>
      <w:r>
        <w:rPr>
          <w:rFonts w:ascii="Calibri" w:cs="Calibri" w:eastAsia="Calibri" w:hAnsi="Calibri"/>
          <w:b/>
          <w:bCs/>
          <w:sz w:val="21"/>
          <w:szCs w:val="21"/>
        </w:rPr>
        <w:t xml:space="preserve">Commission publishing policy [21]: </w:t>
      </w:r>
      <w:r>
        <w:rPr>
          <w:rFonts w:ascii="Calibri" w:cs="Calibri" w:eastAsia="Calibri" w:hAnsi="Calibri"/>
          <w:sz w:val="21"/>
          <w:szCs w:val="21"/>
        </w:rPr>
        <w:t xml:space="preserve">information isn't published where the action was set aside on review by a tribunal. This is a strong answer to "FFG's review is pointless" and is now in FFG para 5.</w:t>
      </w:r>
    </w:p>
    <w:p>
      <w:pPr>
        <w:pStyle w:val="ListParagraph"/>
        <w:numPr>
          <w:ilvl w:val="0"/>
          <w:numId w:val="2"/>
        </w:numPr>
        <w:spacing w:after="60" w:line="252"/>
      </w:pPr>
      <w:r>
        <w:rPr>
          <w:rFonts w:ascii="Calibri" w:cs="Calibri" w:eastAsia="Calibri" w:hAnsi="Calibri"/>
          <w:b/>
          <w:bCs/>
          <w:sz w:val="21"/>
          <w:szCs w:val="21"/>
        </w:rPr>
        <w:t xml:space="preserve">AGS 28 Feb 2024 [6]: </w:t>
      </w:r>
      <w:r>
        <w:rPr>
          <w:rFonts w:ascii="Calibri" w:cs="Calibri" w:eastAsia="Calibri" w:hAnsi="Calibri"/>
          <w:sz w:val="21"/>
          <w:szCs w:val="21"/>
        </w:rPr>
        <w:t xml:space="preserve">no brief of evidence about Simon was sent to the CDPP. This is added to Simon's para 4. At [7] of the same document AGS says Simon declined an NDIA interview; expect them to use that.</w:t>
      </w:r>
    </w:p>
    <w:p>
      <w:pPr>
        <w:pStyle w:val="ListParagraph"/>
        <w:numPr>
          <w:ilvl w:val="0"/>
          <w:numId w:val="2"/>
        </w:numPr>
        <w:spacing w:after="60" w:line="252"/>
      </w:pPr>
      <w:r>
        <w:rPr>
          <w:rFonts w:ascii="Calibri" w:cs="Calibri" w:eastAsia="Calibri" w:hAnsi="Calibri"/>
          <w:b/>
          <w:bCs/>
          <w:sz w:val="21"/>
          <w:szCs w:val="21"/>
        </w:rPr>
        <w:t xml:space="preserve">The 17 June 2024 directions were already vacated </w:t>
      </w:r>
      <w:r>
        <w:rPr>
          <w:rFonts w:ascii="Calibri" w:cs="Calibri" w:eastAsia="Calibri" w:hAnsi="Calibri"/>
          <w:sz w:val="21"/>
          <w:szCs w:val="21"/>
        </w:rPr>
        <w:t xml:space="preserve">on 3 October 2024, so D13 is reworded.</w:t>
      </w:r>
    </w:p>
    <w:p>
      <w:pPr>
        <w:pStyle w:val="ListParagraph"/>
        <w:numPr>
          <w:ilvl w:val="0"/>
          <w:numId w:val="2"/>
        </w:numPr>
        <w:spacing w:after="60" w:line="252"/>
      </w:pPr>
      <w:r>
        <w:rPr>
          <w:rFonts w:ascii="Calibri" w:cs="Calibri" w:eastAsia="Calibri" w:hAnsi="Calibri"/>
          <w:b/>
          <w:bCs/>
          <w:sz w:val="21"/>
          <w:szCs w:val="21"/>
        </w:rPr>
        <w:t xml:space="preserve">Delegations request dropped. </w:t>
      </w:r>
      <w:r>
        <w:rPr>
          <w:rFonts w:ascii="Calibri" w:cs="Calibri" w:eastAsia="Calibri" w:hAnsi="Calibri"/>
          <w:sz w:val="21"/>
          <w:szCs w:val="21"/>
        </w:rPr>
        <w:t xml:space="preserve">Sunflower rejected that line ([210]–[222]), and the Tribunal remakes the decision anyway.</w:t>
      </w:r>
    </w:p>
    <w:p>
      <w:pPr>
        <w:pStyle w:val="ListParagraph"/>
        <w:numPr>
          <w:ilvl w:val="0"/>
          <w:numId w:val="2"/>
        </w:numPr>
        <w:spacing w:after="60" w:line="252"/>
      </w:pPr>
      <w:r>
        <w:rPr>
          <w:rFonts w:ascii="Calibri" w:cs="Calibri" w:eastAsia="Calibri" w:hAnsi="Calibri"/>
          <w:b/>
          <w:bCs/>
          <w:sz w:val="21"/>
          <w:szCs w:val="21"/>
        </w:rPr>
        <w:t xml:space="preserve">2026 amendments: </w:t>
      </w:r>
      <w:r>
        <w:rPr>
          <w:rFonts w:ascii="Calibri" w:cs="Calibri" w:eastAsia="Calibri" w:hAnsi="Calibri"/>
          <w:sz w:val="21"/>
          <w:szCs w:val="21"/>
        </w:rPr>
        <w:t xml:space="preserve">s 73ZN(2B)–(2C) now reach people who provide services that enable or facilitate NDIS supports, including help with registration. If any of your current businesses serve NDIS providers, tell your lawyer before the SFIC. It could shape any replacement order.</w:t>
      </w:r>
    </w:p>
    <w:p>
      <w:pPr>
        <w:pStyle w:val="Heading1"/>
        <w:spacing w:after="120" w:before="240"/>
      </w:pPr>
      <w:r>
        <w:rPr>
          <w:rFonts w:ascii="Calibri" w:cs="Calibri" w:eastAsia="Calibri" w:hAnsi="Calibri"/>
          <w:b/>
          <w:bCs/>
          <w:color w:val="1F3864"/>
          <w:sz w:val="26"/>
          <w:szCs w:val="26"/>
        </w:rPr>
        <w:t xml:space="preserve">4. The AI practice direction: what you must do</w:t>
      </w:r>
    </w:p>
    <w:p>
      <w:pPr>
        <w:pStyle w:val="ListParagraph"/>
        <w:numPr>
          <w:ilvl w:val="0"/>
          <w:numId w:val="2"/>
        </w:numPr>
        <w:spacing w:after="60" w:line="252"/>
      </w:pPr>
      <w:r>
        <w:rPr>
          <w:rFonts w:ascii="Calibri" w:cs="Calibri" w:eastAsia="Calibri" w:hAnsi="Calibri"/>
          <w:sz w:val="21"/>
          <w:szCs w:val="21"/>
        </w:rPr>
        <w:t xml:space="preserve">It applies to every party, including self-represented parties, from 20 August 2026.</w:t>
      </w:r>
    </w:p>
    <w:p>
      <w:pPr>
        <w:pStyle w:val="ListParagraph"/>
        <w:numPr>
          <w:ilvl w:val="0"/>
          <w:numId w:val="2"/>
        </w:numPr>
        <w:spacing w:after="60" w:line="252"/>
      </w:pPr>
      <w:r>
        <w:rPr>
          <w:rFonts w:ascii="Calibri" w:cs="Calibri" w:eastAsia="Calibri" w:hAnsi="Calibri"/>
          <w:b/>
          <w:bCs/>
          <w:sz w:val="21"/>
          <w:szCs w:val="21"/>
        </w:rPr>
        <w:t xml:space="preserve">Before you sign, </w:t>
      </w:r>
      <w:r>
        <w:rPr>
          <w:rFonts w:ascii="Calibri" w:cs="Calibri" w:eastAsia="Calibri" w:hAnsi="Calibri"/>
          <w:sz w:val="21"/>
          <w:szCs w:val="21"/>
        </w:rPr>
        <w:t xml:space="preserve">personally check every quotation, date and reference against its source, using the Source Check Sheet. Having one AI check another AI's work doesn't count.</w:t>
      </w:r>
    </w:p>
    <w:p>
      <w:pPr>
        <w:pStyle w:val="ListParagraph"/>
        <w:numPr>
          <w:ilvl w:val="0"/>
          <w:numId w:val="2"/>
        </w:numPr>
        <w:spacing w:after="60" w:line="252"/>
      </w:pPr>
      <w:r>
        <w:rPr>
          <w:rFonts w:ascii="Calibri" w:cs="Calibri" w:eastAsia="Calibri" w:hAnsi="Calibri"/>
          <w:b/>
          <w:bCs/>
          <w:sz w:val="21"/>
          <w:szCs w:val="21"/>
        </w:rPr>
        <w:t xml:space="preserve">Disclosure: </w:t>
      </w:r>
      <w:r>
        <w:rPr>
          <w:rFonts w:ascii="Calibri" w:cs="Calibri" w:eastAsia="Calibri" w:hAnsi="Calibri"/>
          <w:sz w:val="21"/>
          <w:szCs w:val="21"/>
        </w:rPr>
        <w:t xml:space="preserve">it is mandatory where AI affects evidence, such as summarising documents a witness relies on. For submissions it is optional but recommended, so v6 includes one line. Keep that line only if you have actually done the checks.</w:t>
      </w:r>
    </w:p>
    <w:p>
      <w:pPr>
        <w:pStyle w:val="ListParagraph"/>
        <w:numPr>
          <w:ilvl w:val="0"/>
          <w:numId w:val="2"/>
        </w:numPr>
        <w:spacing w:after="60" w:line="252"/>
      </w:pPr>
      <w:r>
        <w:rPr>
          <w:rFonts w:ascii="Calibri" w:cs="Calibri" w:eastAsia="Calibri" w:hAnsi="Calibri"/>
          <w:b/>
          <w:bCs/>
          <w:sz w:val="21"/>
          <w:szCs w:val="21"/>
        </w:rPr>
        <w:t xml:space="preserve">Your evidence </w:t>
      </w:r>
      <w:r>
        <w:rPr>
          <w:rFonts w:ascii="Calibri" w:cs="Calibri" w:eastAsia="Calibri" w:hAnsi="Calibri"/>
          <w:sz w:val="21"/>
          <w:szCs w:val="21"/>
        </w:rPr>
        <w:t xml:space="preserve">(SFIC facts and witness statements) must be in your own words. AI must not add to, exaggerate or change evidence (para 3.9).</w:t>
      </w:r>
    </w:p>
    <w:p>
      <w:pPr>
        <w:pStyle w:val="ListParagraph"/>
        <w:numPr>
          <w:ilvl w:val="0"/>
          <w:numId w:val="2"/>
        </w:numPr>
        <w:spacing w:after="60" w:line="252"/>
      </w:pPr>
      <w:r>
        <w:rPr>
          <w:rFonts w:ascii="Calibri" w:cs="Calibri" w:eastAsia="Calibri" w:hAnsi="Calibri"/>
          <w:b/>
          <w:bCs/>
          <w:sz w:val="21"/>
          <w:szCs w:val="21"/>
        </w:rPr>
        <w:t xml:space="preserve">Don't put protected material into a public AI tool </w:t>
      </w:r>
      <w:r>
        <w:rPr>
          <w:rFonts w:ascii="Calibri" w:cs="Calibri" w:eastAsia="Calibri" w:hAnsi="Calibri"/>
          <w:sz w:val="21"/>
          <w:szCs w:val="21"/>
        </w:rPr>
        <w:t xml:space="preserve">unless you are satisfied it is lawful and consistent with every obligation (para 3.20). That covers T-documents, participant details, documents under non-disclosure orders and privileged material. Check each AI tool's data and training settings.</w:t>
      </w:r>
    </w:p>
    <w:p>
      <w:pPr>
        <w:pStyle w:val="ListParagraph"/>
        <w:numPr>
          <w:ilvl w:val="0"/>
          <w:numId w:val="2"/>
        </w:numPr>
        <w:spacing w:after="60" w:line="252"/>
      </w:pPr>
      <w:r>
        <w:rPr>
          <w:rFonts w:ascii="Calibri" w:cs="Calibri" w:eastAsia="Calibri" w:hAnsi="Calibri"/>
          <w:sz w:val="21"/>
          <w:szCs w:val="21"/>
        </w:rPr>
        <w:t xml:space="preserve">If the Tribunal asks how a document was prepared, answer truthfully. In a decision on the papers it can require disclosure (para 3.16).</w:t>
      </w:r>
    </w:p>
    <w:p>
      <w:pPr>
        <w:pStyle w:val="Heading1"/>
        <w:spacing w:after="120" w:before="240"/>
      </w:pPr>
      <w:r>
        <w:rPr>
          <w:rFonts w:ascii="Calibri" w:cs="Calibri" w:eastAsia="Calibri" w:hAnsi="Calibri"/>
          <w:b/>
          <w:bCs/>
          <w:color w:val="1F3864"/>
          <w:sz w:val="26"/>
          <w:szCs w:val="26"/>
        </w:rPr>
        <w:t xml:space="preserve">5. Exposure handling (corrected)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Exposure</w:t>
            </w:r>
          </w:p>
        </w:tc>
        <w:tc>
          <w:tcPr>
            <w:tcW w:type="dxa" w:w="632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v6 handling</w:t>
            </w:r>
          </w:p>
        </w:tc>
      </w:tr>
      <w:tr>
        <w:trPr>
          <w:tblHeader w:val="false"/>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Old misquotes (Vida and Simon)</w:t>
            </w:r>
          </w:p>
        </w:tc>
        <w:tc>
          <w:tcPr>
            <w:tcW w:type="dxa" w:w="63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File the correction documents with the directions responses. Don't guess at how the errors arose; if asked, answer truthfully.</w:t>
            </w:r>
          </w:p>
        </w:tc>
      </w:tr>
      <w:tr>
        <w:trPr>
          <w:tblHeader w:val="false"/>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Consents (joinder 2023; paper process Nov 2025; severance on the papers Mar 2026)</w:t>
            </w:r>
          </w:p>
        </w:tc>
        <w:tc>
          <w:tcPr>
            <w:tcW w:type="dxa" w:w="63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Acknowledge them accurately. Simon's 7 Nov 2025 email reserved an oral hearing if fairness requires it, and [38](b)–(c) concern personal conduct.</w:t>
            </w:r>
          </w:p>
        </w:tc>
      </w:tr>
      <w:tr>
        <w:trPr>
          <w:tblHeader w:val="false"/>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Each spouse's account</w:t>
            </w:r>
          </w:p>
        </w:tc>
        <w:tc>
          <w:tcPr>
            <w:tcW w:type="dxa" w:w="63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Each of you gives your own truthful account. Identify differences from the records. Get separate lawyers if your interests conflict. Don't speculate about the other.</w:t>
            </w:r>
          </w:p>
        </w:tc>
      </w:tr>
      <w:tr>
        <w:trPr>
          <w:tblHeader w:val="false"/>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Service ("not received")</w:t>
            </w:r>
          </w:p>
        </w:tc>
        <w:tc>
          <w:tcPr>
            <w:tcW w:type="dxa" w:w="63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Don't press it. If asked, answer for each document and each person.</w:t>
            </w:r>
          </w:p>
        </w:tc>
      </w:tr>
      <w:tr>
        <w:trPr>
          <w:tblHeader w:val="false"/>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Criminal outcome</w:t>
            </w:r>
          </w:p>
        </w:tc>
        <w:tc>
          <w:tcPr>
            <w:tcW w:type="dxa" w:w="63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"Discontinued before any evidence was adduced; dismissed for want of prosecution." It is not an acquittal. The Magistrate recorded a stated intention to recharge.</w:t>
            </w:r>
          </w:p>
        </w:tc>
      </w:tr>
      <w:tr>
        <w:trPr>
          <w:tblHeader w:val="false"/>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Recordings (3 Oct 2024 was an AAT event; 6 Jun 2025 an ART event)</w:t>
            </w:r>
          </w:p>
        </w:tc>
        <w:tc>
          <w:tcPr>
            <w:tcW w:type="dxa" w:w="63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Preserve the originals and metadata. Don't edit, delete, circulate or file them. Tell your lawyer they exist and get advice; use the official transcripts if needed.</w:t>
            </w:r>
          </w:p>
        </w:tc>
      </w:tr>
      <w:tr>
        <w:trPr>
          <w:tblHeader w:val="false"/>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Accuracy rule (replaces the "never use" list)</w:t>
            </w:r>
          </w:p>
        </w:tc>
        <w:tc>
          <w:tcPr>
            <w:tcW w:type="dxa" w:w="63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State only what a document shows. Quote only what you have checked word for word. Describe roles with dates and a source.</w:t>
            </w:r>
          </w:p>
        </w:tc>
      </w:tr>
    </w:tbl>
    <w:p>
      <w:pPr>
        <w:pStyle w:val="Heading1"/>
        <w:spacing w:after="120" w:before="240"/>
      </w:pPr>
      <w:r>
        <w:rPr>
          <w:rFonts w:ascii="Calibri" w:cs="Calibri" w:eastAsia="Calibri" w:hAnsi="Calibri"/>
          <w:b/>
          <w:bCs/>
          <w:color w:val="1F3864"/>
          <w:sz w:val="26"/>
          <w:szCs w:val="26"/>
        </w:rPr>
        <w:t xml:space="preserve">6. Actions and deadlines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1700"/>
        <w:gridCol w:w="1726"/>
      </w:tblGrid>
      <w:tr>
        <w:trPr>
          <w:tblHeader/>
        </w:trPr>
        <w:tc>
          <w:tcPr>
            <w:tcW w:type="dxa" w:w="5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Action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When</w:t>
            </w:r>
          </w:p>
        </w:tc>
        <w:tc>
          <w:tcPr>
            <w:tcW w:type="dxa" w:w="172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Who</w:t>
            </w:r>
          </w:p>
        </w:tc>
      </w:tr>
      <w:tr>
        <w:trPr>
          <w:tblHeader w:val="false"/>
        </w:trPr>
        <w:tc>
          <w:tcPr>
            <w:tcW w:type="dxa" w:w="5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Tick every line of the Source Check Sheet, then sign</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Before filing</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Simon (his docs and FFG's); Vida (hers)</w:t>
            </w:r>
          </w:p>
        </w:tc>
      </w:tr>
      <w:tr>
        <w:trPr>
          <w:tblHeader w:val="false"/>
        </w:trPr>
        <w:tc>
          <w:tcPr>
            <w:tcW w:type="dxa" w:w="5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Confirm the "SL" statement at s 70 [15] was based only on the initials (the correction says so)</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Before filing</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Simon</w:t>
            </w:r>
          </w:p>
        </w:tc>
      </w:tr>
      <w:tr>
        <w:trPr>
          <w:tblHeader w:val="false"/>
        </w:trPr>
        <w:tc>
          <w:tcPr>
            <w:tcW w:type="dxa" w:w="5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Vida reads, approves and signs her response and her correction, and sends them from her own email</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Before filing</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Vida</w:t>
            </w:r>
          </w:p>
        </w:tc>
      </w:tr>
      <w:tr>
        <w:trPr>
          <w:tblHeader w:val="false"/>
        </w:trPr>
        <w:tc>
          <w:tcPr>
            <w:tcW w:type="dxa" w:w="5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ASIC: is FFG registered, is Simon still a director with authority to act, and what is Hybrid's directorship history</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Same day as filing</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Simon</w:t>
            </w:r>
          </w:p>
        </w:tc>
      </w:tr>
      <w:tr>
        <w:trPr>
          <w:tblHeader w:val="false"/>
        </w:trPr>
        <w:tc>
          <w:tcPr>
            <w:tcW w:type="dxa" w:w="5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Check the ART portal and Vida's inbox for any order since 31 Jul 2026</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Before filing</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Both</w:t>
            </w:r>
          </w:p>
        </w:tc>
      </w:tr>
      <w:tr>
        <w:trPr>
          <w:tblHeader w:val="false"/>
        </w:trPr>
        <w:tc>
          <w:tcPr>
            <w:tcW w:type="dxa" w:w="5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FOI 2026.1839 (Vida): apply for Information Commissioner review within 60 days of the day notice was given. That is 13 Oct 2026 if it was given on 14 Aug; confirm from the email to legal@ffg.net.au. Grounds: six specific emails apparently missing (23 Oct, 31 Oct, 12 Nov, 4 Dec 2025; 14 and 15 Jan 2026); the searches done; s 42 relied on for set 2 but missing from the schedule; how sets 11–12 were supplied. Chasing the ART does not stop the clock.</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By 13 Oct 2026 (earlier is safer)</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Vida</w:t>
            </w:r>
          </w:p>
        </w:tc>
      </w:tr>
      <w:tr>
        <w:trPr>
          <w:tblHeader w:val="false"/>
        </w:trPr>
        <w:tc>
          <w:tcPr>
            <w:tcW w:type="dxa" w:w="5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Recordings: preserve the originals and tell your lawyer</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Now</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Both</w:t>
            </w:r>
          </w:p>
        </w:tc>
      </w:tr>
      <w:tr>
        <w:trPr>
          <w:tblHeader w:val="false"/>
        </w:trPr>
        <w:tc>
          <w:tcPr>
            <w:tcW w:type="dxa" w:w="5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Legal advice: Vida's evidence and privilege; any conflict between you; any (2C) exposure from current businesses</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Before SFIC</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Both</w:t>
            </w:r>
          </w:p>
        </w:tc>
      </w:tr>
      <w:tr>
        <w:trPr>
          <w:tblHeader w:val="false"/>
        </w:trPr>
        <w:tc>
          <w:tcPr>
            <w:tcW w:type="dxa" w:w="5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Check the data and training settings of every AI tool used with case documents</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Now</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Both</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2026-09-27T02:02:35.407Z</dcterms:created>
  <dcterms:modified xsi:type="dcterms:W3CDTF">2026-09-27T02:02:35.407Z</dcterms:modified>
</cp:coreProperties>
</file>

<file path=docProps/custom.xml><?xml version="1.0" encoding="utf-8"?>
<Properties xmlns="http://schemas.openxmlformats.org/officeDocument/2006/custom-properties" xmlns:vt="http://schemas.openxmlformats.org/officeDocument/2006/docPropsVTypes"/>
</file>