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Calibri" w:cs="Calibri" w:eastAsia="Calibri" w:hAnsi="Calibri"/>
          <w:b/>
          <w:bCs/>
          <w:sz w:val="24"/>
          <w:szCs w:val="24"/>
        </w:rPr>
        <w:t xml:space="preserve">ADMINISTRATIVE REVIEW TRIBUNAL</w:t>
      </w:r>
    </w:p>
    <w:p>
      <w:pPr>
        <w:spacing w:after="240"/>
        <w:jc w:val="center"/>
      </w:pPr>
      <w:r>
        <w:rPr>
          <w:rFonts w:ascii="Calibri" w:cs="Calibri" w:eastAsia="Calibri" w:hAnsi="Calibri"/>
          <w:sz w:val="22"/>
          <w:szCs w:val="22"/>
        </w:rPr>
        <w:t xml:space="preserve">BRISBANE REGISTRY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sz w:val="22"/>
                <w:szCs w:val="22"/>
              </w:rPr>
              <w:t xml:space="preserve">Tribunal Numbers:</w:t>
            </w:r>
          </w:p>
        </w:tc>
        <w:tc>
          <w:tcPr>
            <w:tcW w:type="dxa" w:w="6226"/>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b/>
                <w:bCs/>
                <w:sz w:val="22"/>
                <w:szCs w:val="22"/>
              </w:rPr>
              <w:t xml:space="preserve">2023/3361, 2023/3363 and 2023/4494</w:t>
            </w:r>
          </w:p>
        </w:tc>
      </w:tr>
      <w:tr>
        <w:tc>
          <w:tcPr>
            <w:tcW w:type="dxa" w:w="2800"/>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sz w:val="22"/>
                <w:szCs w:val="22"/>
              </w:rPr>
              <w:t xml:space="preserve">First Applicant:</w:t>
            </w:r>
          </w:p>
        </w:tc>
        <w:tc>
          <w:tcPr>
            <w:tcW w:type="dxa" w:w="6226"/>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b/>
                <w:bCs/>
                <w:sz w:val="22"/>
                <w:szCs w:val="22"/>
              </w:rPr>
              <w:t xml:space="preserve">VIDA REID</w:t>
            </w:r>
          </w:p>
        </w:tc>
      </w:tr>
      <w:tr>
        <w:tc>
          <w:tcPr>
            <w:tcW w:type="dxa" w:w="2800"/>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sz w:val="22"/>
                <w:szCs w:val="22"/>
              </w:rPr>
              <w:t xml:space="preserve">Second Applicant:</w:t>
            </w:r>
          </w:p>
        </w:tc>
        <w:tc>
          <w:tcPr>
            <w:tcW w:type="dxa" w:w="6226"/>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b/>
                <w:bCs/>
                <w:sz w:val="22"/>
                <w:szCs w:val="22"/>
              </w:rPr>
              <w:t xml:space="preserve">SIMON REID</w:t>
            </w:r>
          </w:p>
        </w:tc>
      </w:tr>
      <w:tr>
        <w:tc>
          <w:tcPr>
            <w:tcW w:type="dxa" w:w="2800"/>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sz w:val="22"/>
                <w:szCs w:val="22"/>
              </w:rPr>
              <w:t xml:space="preserve">Third Applicant:</w:t>
            </w:r>
          </w:p>
        </w:tc>
        <w:tc>
          <w:tcPr>
            <w:tcW w:type="dxa" w:w="6226"/>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b/>
                <w:bCs/>
                <w:sz w:val="22"/>
                <w:szCs w:val="22"/>
              </w:rPr>
              <w:t xml:space="preserve">FORWARD FOCUSED GROUP PTY LTD</w:t>
            </w:r>
          </w:p>
        </w:tc>
      </w:tr>
      <w:tr>
        <w:tc>
          <w:tcPr>
            <w:tcW w:type="dxa" w:w="2800"/>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sz w:val="22"/>
                <w:szCs w:val="22"/>
              </w:rPr>
              <w:t xml:space="preserve">Respondent:</w:t>
            </w:r>
          </w:p>
        </w:tc>
        <w:tc>
          <w:tcPr>
            <w:tcW w:type="dxa" w:w="6226"/>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b/>
                <w:bCs/>
                <w:sz w:val="22"/>
                <w:szCs w:val="22"/>
              </w:rPr>
              <w:t xml:space="preserve">COMMISSIONER OF THE NDIS QUALITY AND SAFEGUARDS COMMISSION</w:t>
            </w:r>
          </w:p>
        </w:tc>
      </w:tr>
    </w:tbl>
    <w:p>
      <w:pPr>
        <w:spacing w:before="240"/>
        <w:jc w:val="center"/>
      </w:pPr>
      <w:r>
        <w:rPr>
          <w:rFonts w:ascii="Calibri" w:cs="Calibri" w:eastAsia="Calibri" w:hAnsi="Calibri"/>
          <w:b/>
          <w:bCs/>
          <w:sz w:val="24"/>
          <w:szCs w:val="24"/>
        </w:rPr>
        <w:t xml:space="preserve">SECOND APPLICANT'S CORRECTION OF EARLIER CORRESPONDENCE AND SUBMISSIONS</w:t>
      </w:r>
    </w:p>
    <w:p>
      <w:pPr>
        <w:spacing w:after="200"/>
        <w:jc w:val="center"/>
      </w:pPr>
      <w:r>
        <w:rPr>
          <w:rFonts w:ascii="Calibri" w:cs="Calibri" w:eastAsia="Calibri" w:hAnsi="Calibri"/>
          <w:sz w:val="22"/>
          <w:szCs w:val="22"/>
        </w:rPr>
        <w:t xml:space="preserve">matter 2023/3363</w:t>
      </w:r>
    </w:p>
    <w:p>
      <w:pPr>
        <w:tabs>
          <w:tab w:val="left" w:pos="567"/>
        </w:tabs>
        <w:spacing w:after="120" w:line="276"/>
        <w:ind w:left="567" w:hanging="567"/>
        <w:jc w:val="both"/>
      </w:pPr>
      <w:r>
        <w:rPr>
          <w:rFonts w:ascii="Calibri" w:cs="Calibri" w:eastAsia="Calibri" w:hAnsi="Calibri"/>
          <w:sz w:val="22"/>
          <w:szCs w:val="22"/>
        </w:rPr>
        <w:t xml:space="preserve">1.	</w:t>
      </w:r>
      <w:r>
        <w:rPr>
          <w:rFonts w:ascii="Calibri" w:cs="Calibri" w:eastAsia="Calibri" w:hAnsi="Calibri"/>
          <w:sz w:val="22"/>
          <w:szCs w:val="22"/>
        </w:rPr>
        <w:t xml:space="preserve">The Second Applicant corrects the following statements in documents he sent to the Tribunal. The corrections do not change the directions he seeks.</w:t>
      </w:r>
    </w:p>
    <w:p>
      <w:pPr>
        <w:spacing w:after="120" w:before="240"/>
      </w:pPr>
      <w:r>
        <w:rPr>
          <w:rFonts w:ascii="Calibri" w:cs="Calibri" w:eastAsia="Calibri" w:hAnsi="Calibri"/>
          <w:b/>
          <w:bCs/>
          <w:sz w:val="22"/>
          <w:szCs w:val="22"/>
        </w:rPr>
        <w:t xml:space="preserve">Letter dated 25 March 2025 (emailed on 31 March 2025)</w:t>
      </w:r>
    </w:p>
    <w:p>
      <w:pPr>
        <w:tabs>
          <w:tab w:val="left" w:pos="567"/>
        </w:tabs>
        <w:spacing w:after="120" w:line="276"/>
        <w:ind w:left="567" w:hanging="567"/>
        <w:jc w:val="both"/>
      </w:pPr>
      <w:r>
        <w:rPr>
          <w:rFonts w:ascii="Calibri" w:cs="Calibri" w:eastAsia="Calibri" w:hAnsi="Calibri"/>
          <w:sz w:val="22"/>
          <w:szCs w:val="22"/>
        </w:rPr>
        <w:t xml:space="preserve">2.	</w:t>
      </w:r>
      <w:r>
        <w:rPr>
          <w:rFonts w:ascii="Calibri" w:cs="Calibri" w:eastAsia="Calibri" w:hAnsi="Calibri"/>
          <w:sz w:val="22"/>
          <w:szCs w:val="22"/>
        </w:rPr>
        <w:t xml:space="preserve">The letter stated that the internal review decision of 21 April 2023 said: </w:t>
      </w:r>
      <w:r>
        <w:rPr>
          <w:rFonts w:ascii="Calibri" w:cs="Calibri" w:eastAsia="Calibri" w:hAnsi="Calibri"/>
          <w:sz w:val="22"/>
          <w:szCs w:val="22"/>
        </w:rPr>
        <w:t xml:space="preserve">“The ongoing investigation by the NDIA and law enforcement agencies supports the necessity of this banning order”</w:t>
      </w:r>
      <w:r>
        <w:rPr>
          <w:rFonts w:ascii="Calibri" w:cs="Calibri" w:eastAsia="Calibri" w:hAnsi="Calibri"/>
          <w:sz w:val="22"/>
          <w:szCs w:val="22"/>
        </w:rPr>
        <w:t xml:space="preserve">. Those words do not appear in the decision. The relevant passage, at [46], reads: </w:t>
      </w:r>
      <w:r>
        <w:rPr>
          <w:rFonts w:ascii="Calibri" w:cs="Calibri" w:eastAsia="Calibri" w:hAnsi="Calibri"/>
          <w:sz w:val="22"/>
          <w:szCs w:val="22"/>
        </w:rPr>
        <w:t xml:space="preserve">“Having regard to the ongoing investigation by the NDIA and law enforcement agencies into the fraudulent conduct Mr Reid is alleged to have engaged in, and the serious nature of those allegations, I consider Mr Reid is not suitable at this time to be an NDIS provider”</w:t>
      </w:r>
      <w:r>
        <w:rPr>
          <w:rFonts w:ascii="Calibri" w:cs="Calibri" w:eastAsia="Calibri" w:hAnsi="Calibri"/>
          <w:sz w:val="22"/>
          <w:szCs w:val="22"/>
        </w:rPr>
        <w:t xml:space="preserve">. The Second Applicant withdraws the quotation.</w:t>
      </w:r>
    </w:p>
    <w:p>
      <w:pPr>
        <w:tabs>
          <w:tab w:val="left" w:pos="567"/>
        </w:tabs>
        <w:spacing w:after="120" w:line="276"/>
        <w:ind w:left="567" w:hanging="567"/>
        <w:jc w:val="both"/>
      </w:pPr>
      <w:r>
        <w:rPr>
          <w:rFonts w:ascii="Calibri" w:cs="Calibri" w:eastAsia="Calibri" w:hAnsi="Calibri"/>
          <w:sz w:val="22"/>
          <w:szCs w:val="22"/>
        </w:rPr>
        <w:t xml:space="preserve">3.	</w:t>
      </w:r>
      <w:r>
        <w:rPr>
          <w:rFonts w:ascii="Calibri" w:cs="Calibri" w:eastAsia="Calibri" w:hAnsi="Calibri"/>
          <w:sz w:val="22"/>
          <w:szCs w:val="22"/>
        </w:rPr>
        <w:t xml:space="preserve">The letter referred to </w:t>
      </w:r>
      <w:r>
        <w:rPr>
          <w:rFonts w:ascii="Calibri" w:cs="Calibri" w:eastAsia="Calibri" w:hAnsi="Calibri"/>
          <w:sz w:val="22"/>
          <w:szCs w:val="22"/>
        </w:rPr>
        <w:t xml:space="preserve">“The charges underpinning my ban”</w:t>
      </w:r>
      <w:r>
        <w:rPr>
          <w:rFonts w:ascii="Calibri" w:cs="Calibri" w:eastAsia="Calibri" w:hAnsi="Calibri"/>
          <w:sz w:val="22"/>
          <w:szCs w:val="22"/>
        </w:rPr>
        <w:t xml:space="preserve">. The Second Applicant was not charged. The charges discontinued on 23 February 2024 were brought against the First Applicant.</w:t>
      </w:r>
    </w:p>
    <w:p>
      <w:pPr>
        <w:tabs>
          <w:tab w:val="left" w:pos="567"/>
        </w:tabs>
        <w:spacing w:after="120" w:line="276"/>
        <w:ind w:left="567" w:hanging="567"/>
        <w:jc w:val="both"/>
      </w:pPr>
      <w:r>
        <w:rPr>
          <w:rFonts w:ascii="Calibri" w:cs="Calibri" w:eastAsia="Calibri" w:hAnsi="Calibri"/>
          <w:sz w:val="22"/>
          <w:szCs w:val="22"/>
        </w:rPr>
        <w:t xml:space="preserve">4.	</w:t>
      </w:r>
      <w:r>
        <w:rPr>
          <w:rFonts w:ascii="Calibri" w:cs="Calibri" w:eastAsia="Calibri" w:hAnsi="Calibri"/>
          <w:sz w:val="22"/>
          <w:szCs w:val="22"/>
        </w:rPr>
        <w:t xml:space="preserve">The letter was written in opposition to the matters being heard together, which the Tribunal has now decided. The Second Applicant does not rely further on the letter, including the provisions, rules and cases cited in it.</w:t>
      </w:r>
    </w:p>
    <w:p>
      <w:pPr>
        <w:spacing w:after="120" w:before="240"/>
      </w:pPr>
      <w:r>
        <w:rPr>
          <w:rFonts w:ascii="Calibri" w:cs="Calibri" w:eastAsia="Calibri" w:hAnsi="Calibri"/>
          <w:b/>
          <w:bCs/>
          <w:sz w:val="22"/>
          <w:szCs w:val="22"/>
        </w:rPr>
        <w:t xml:space="preserve">Submissions of 19 May 2026 on the Respondent's section 70 application</w:t>
      </w:r>
    </w:p>
    <w:p>
      <w:pPr>
        <w:tabs>
          <w:tab w:val="left" w:pos="567"/>
        </w:tabs>
        <w:spacing w:after="120" w:line="276"/>
        <w:ind w:left="567" w:hanging="567"/>
        <w:jc w:val="both"/>
      </w:pPr>
      <w:r>
        <w:rPr>
          <w:rFonts w:ascii="Calibri" w:cs="Calibri" w:eastAsia="Calibri" w:hAnsi="Calibri"/>
          <w:sz w:val="22"/>
          <w:szCs w:val="22"/>
        </w:rPr>
        <w:t xml:space="preserve">5.	</w:t>
      </w:r>
      <w:r>
        <w:rPr>
          <w:rFonts w:ascii="Calibri" w:cs="Calibri" w:eastAsia="Calibri" w:hAnsi="Calibri"/>
          <w:sz w:val="22"/>
          <w:szCs w:val="22"/>
        </w:rPr>
        <w:t xml:space="preserve">Paragraph [15] stated that the author </w:t>
      </w:r>
      <w:r>
        <w:rPr>
          <w:rFonts w:ascii="Calibri" w:cs="Calibri" w:eastAsia="Calibri" w:hAnsi="Calibri"/>
          <w:sz w:val="22"/>
          <w:szCs w:val="22"/>
        </w:rPr>
        <w:t xml:space="preserve">“SL”</w:t>
      </w:r>
      <w:r>
        <w:rPr>
          <w:rFonts w:ascii="Calibri" w:cs="Calibri" w:eastAsia="Calibri" w:hAnsi="Calibri"/>
          <w:sz w:val="22"/>
          <w:szCs w:val="22"/>
        </w:rPr>
        <w:t xml:space="preserve"> of comments on a draft letter is Ms Sian Leathem. That statement was based only on the initials. The Second Applicant does not know who </w:t>
      </w:r>
      <w:r>
        <w:rPr>
          <w:rFonts w:ascii="Calibri" w:cs="Calibri" w:eastAsia="Calibri" w:hAnsi="Calibri"/>
          <w:sz w:val="22"/>
          <w:szCs w:val="22"/>
        </w:rPr>
        <w:t xml:space="preserve">“SL”</w:t>
      </w:r>
      <w:r>
        <w:rPr>
          <w:rFonts w:ascii="Calibri" w:cs="Calibri" w:eastAsia="Calibri" w:hAnsi="Calibri"/>
          <w:sz w:val="22"/>
          <w:szCs w:val="22"/>
        </w:rPr>
        <w:t xml:space="preserve"> is, and withdraws the statement.</w:t>
      </w:r>
    </w:p>
    <w:p>
      <w:pPr>
        <w:tabs>
          <w:tab w:val="left" w:pos="567"/>
        </w:tabs>
        <w:spacing w:after="120" w:line="276"/>
        <w:ind w:left="567" w:hanging="567"/>
        <w:jc w:val="both"/>
      </w:pPr>
      <w:r>
        <w:rPr>
          <w:rFonts w:ascii="Calibri" w:cs="Calibri" w:eastAsia="Calibri" w:hAnsi="Calibri"/>
          <w:sz w:val="22"/>
          <w:szCs w:val="22"/>
        </w:rPr>
        <w:t xml:space="preserve">6.	</w:t>
      </w:r>
      <w:r>
        <w:rPr>
          <w:rFonts w:ascii="Calibri" w:cs="Calibri" w:eastAsia="Calibri" w:hAnsi="Calibri"/>
          <w:sz w:val="22"/>
          <w:szCs w:val="22"/>
        </w:rPr>
        <w:t xml:space="preserve">Paragraph [27] described </w:t>
      </w:r>
      <w:r>
        <w:rPr>
          <w:rFonts w:ascii="Calibri" w:cs="Calibri" w:eastAsia="Calibri" w:hAnsi="Calibri"/>
          <w:i/>
          <w:iCs/>
          <w:sz w:val="22"/>
          <w:szCs w:val="22"/>
        </w:rPr>
        <w:t xml:space="preserve">ASIC v Southcorp Ltd</w:t>
      </w:r>
      <w:r>
        <w:rPr>
          <w:rFonts w:ascii="Calibri" w:cs="Calibri" w:eastAsia="Calibri" w:hAnsi="Calibri"/>
          <w:sz w:val="22"/>
          <w:szCs w:val="22"/>
        </w:rPr>
        <w:t xml:space="preserve"> (2003) 130 FCR 406 as a case in which a privileged document was collated within a larger production. That description is wrong: the case concerned privilege in an expert's draft reports and related communications. The Second Applicant withdraws the description.</w:t>
      </w:r>
    </w:p>
    <w:p>
      <w:pPr>
        <w:tabs>
          <w:tab w:val="left" w:pos="567"/>
        </w:tabs>
        <w:spacing w:after="120" w:line="276"/>
        <w:ind w:left="567" w:hanging="567"/>
        <w:jc w:val="both"/>
      </w:pPr>
      <w:r>
        <w:rPr>
          <w:rFonts w:ascii="Calibri" w:cs="Calibri" w:eastAsia="Calibri" w:hAnsi="Calibri"/>
          <w:sz w:val="22"/>
          <w:szCs w:val="22"/>
        </w:rPr>
        <w:t xml:space="preserve">7.	</w:t>
      </w:r>
      <w:r>
        <w:rPr>
          <w:rFonts w:ascii="Calibri" w:cs="Calibri" w:eastAsia="Calibri" w:hAnsi="Calibri"/>
          <w:sz w:val="22"/>
          <w:szCs w:val="22"/>
        </w:rPr>
        <w:t xml:space="preserve">Paragraph [29] placed in quotation marks words attributed to </w:t>
      </w:r>
      <w:r>
        <w:rPr>
          <w:rFonts w:ascii="Calibri" w:cs="Calibri" w:eastAsia="Calibri" w:hAnsi="Calibri"/>
          <w:i/>
          <w:iCs/>
          <w:sz w:val="22"/>
          <w:szCs w:val="22"/>
        </w:rPr>
        <w:t xml:space="preserve">Bennett v Chief Executive Officer of the Australian Customs Service</w:t>
      </w:r>
      <w:r>
        <w:rPr>
          <w:rFonts w:ascii="Calibri" w:cs="Calibri" w:eastAsia="Calibri" w:hAnsi="Calibri"/>
          <w:sz w:val="22"/>
          <w:szCs w:val="22"/>
        </w:rPr>
        <w:t xml:space="preserve"> (2004) 140 FCR 101 at [68]. Those words paraphrase the principle stated at [68]; they are not the Court's words. The Second Applicant withdraws the quotation marks.</w:t>
      </w:r>
    </w:p>
    <w:p>
      <w:pPr>
        <w:tabs>
          <w:tab w:val="left" w:pos="567"/>
        </w:tabs>
        <w:spacing w:after="120" w:line="276"/>
        <w:ind w:left="567" w:hanging="567"/>
        <w:jc w:val="both"/>
      </w:pPr>
      <w:r>
        <w:rPr>
          <w:rFonts w:ascii="Calibri" w:cs="Calibri" w:eastAsia="Calibri" w:hAnsi="Calibri"/>
          <w:sz w:val="22"/>
          <w:szCs w:val="22"/>
        </w:rPr>
        <w:t xml:space="preserve">8.	</w:t>
      </w:r>
      <w:r>
        <w:rPr>
          <w:rFonts w:ascii="Calibri" w:cs="Calibri" w:eastAsia="Calibri" w:hAnsi="Calibri"/>
          <w:sz w:val="22"/>
          <w:szCs w:val="22"/>
        </w:rPr>
        <w:t xml:space="preserve">Paragraph [35] cited </w:t>
      </w:r>
      <w:r>
        <w:rPr>
          <w:rFonts w:ascii="Calibri" w:cs="Calibri" w:eastAsia="Calibri" w:hAnsi="Calibri"/>
          <w:i/>
          <w:iCs/>
          <w:sz w:val="22"/>
          <w:szCs w:val="22"/>
        </w:rPr>
        <w:t xml:space="preserve">Hong Kong Bank of Australia v Murphy</w:t>
      </w:r>
      <w:r>
        <w:rPr>
          <w:rFonts w:ascii="Calibri" w:cs="Calibri" w:eastAsia="Calibri" w:hAnsi="Calibri"/>
          <w:sz w:val="22"/>
          <w:szCs w:val="22"/>
        </w:rPr>
        <w:t xml:space="preserve"> (1992) 28 NSWLR 512. The Second Applicant has not been able to verify that citation and does not rely on it.</w:t>
      </w:r>
    </w:p>
    <w:p>
      <w:pPr>
        <w:tabs>
          <w:tab w:val="left" w:pos="567"/>
        </w:tabs>
        <w:spacing w:after="120" w:line="276"/>
        <w:ind w:left="567" w:hanging="567"/>
        <w:jc w:val="both"/>
      </w:pPr>
      <w:r>
        <w:rPr>
          <w:rFonts w:ascii="Calibri" w:cs="Calibri" w:eastAsia="Calibri" w:hAnsi="Calibri"/>
          <w:sz w:val="22"/>
          <w:szCs w:val="22"/>
        </w:rPr>
        <w:t xml:space="preserve">9.	</w:t>
      </w:r>
      <w:r>
        <w:rPr>
          <w:rFonts w:ascii="Calibri" w:cs="Calibri" w:eastAsia="Calibri" w:hAnsi="Calibri"/>
          <w:sz w:val="22"/>
          <w:szCs w:val="22"/>
        </w:rPr>
        <w:t xml:space="preserve">The covering email of 19 May 2026 cited </w:t>
      </w:r>
      <w:r>
        <w:rPr>
          <w:rFonts w:ascii="Calibri" w:cs="Calibri" w:eastAsia="Calibri" w:hAnsi="Calibri"/>
          <w:i/>
          <w:iCs/>
          <w:sz w:val="22"/>
          <w:szCs w:val="22"/>
        </w:rPr>
        <w:t xml:space="preserve">Mann v Carnell</w:t>
      </w:r>
      <w:r>
        <w:rPr>
          <w:rFonts w:ascii="Calibri" w:cs="Calibri" w:eastAsia="Calibri" w:hAnsi="Calibri"/>
          <w:sz w:val="22"/>
          <w:szCs w:val="22"/>
        </w:rPr>
        <w:t xml:space="preserve"> as (1999) 201 CLR 49. The correct citation, used in the submissions, is (1999) 201 CLR 1.</w:t>
      </w:r>
    </w:p>
    <w:p>
      <w:pPr>
        <w:tabs>
          <w:tab w:val="left" w:pos="567"/>
        </w:tabs>
        <w:spacing w:after="120" w:line="276"/>
        <w:ind w:left="567" w:hanging="567"/>
        <w:jc w:val="both"/>
      </w:pPr>
      <w:r>
        <w:rPr>
          <w:rFonts w:ascii="Calibri" w:cs="Calibri" w:eastAsia="Calibri" w:hAnsi="Calibri"/>
          <w:sz w:val="22"/>
          <w:szCs w:val="22"/>
        </w:rPr>
        <w:t xml:space="preserve">10.	</w:t>
      </w:r>
      <w:r>
        <w:rPr>
          <w:rFonts w:ascii="Calibri" w:cs="Calibri" w:eastAsia="Calibri" w:hAnsi="Calibri"/>
          <w:sz w:val="22"/>
          <w:szCs w:val="22"/>
        </w:rPr>
        <w:t xml:space="preserve">The Second Applicant asks that the documents referred to above be read subject to these corrections.</w:t>
      </w:r>
    </w:p>
    <w:p>
      <w:pPr>
        <w:spacing w:before="480"/>
      </w:pPr>
      <w:r>
        <w:rPr>
          <w:rFonts w:ascii="Calibri" w:cs="Calibri" w:eastAsia="Calibri" w:hAnsi="Calibri"/>
          <w:sz w:val="22"/>
          <w:szCs w:val="22"/>
        </w:rPr>
        <w:t xml:space="preserve">Dated: ______________________ 2026</w:t>
      </w:r>
    </w:p>
    <w:p>
      <w:pPr>
        <w:spacing w:before="600"/>
      </w:pPr>
      <w:r>
        <w:rPr>
          <w:rFonts w:ascii="Calibri" w:cs="Calibri" w:eastAsia="Calibri" w:hAnsi="Calibri"/>
          <w:sz w:val="22"/>
          <w:szCs w:val="22"/>
        </w:rPr>
        <w:t xml:space="preserve">________________________________</w:t>
      </w:r>
    </w:p>
    <w:p>
      <w:r>
        <w:rPr>
          <w:rFonts w:ascii="Calibri" w:cs="Calibri" w:eastAsia="Calibri" w:hAnsi="Calibri"/>
          <w:b/>
          <w:bCs/>
          <w:sz w:val="22"/>
          <w:szCs w:val="22"/>
        </w:rPr>
        <w:t xml:space="preserve">Simon Reid</w:t>
      </w:r>
    </w:p>
    <w:p>
      <w:r>
        <w:rPr>
          <w:rFonts w:ascii="Calibri" w:cs="Calibri" w:eastAsia="Calibri" w:hAnsi="Calibri"/>
          <w:sz w:val="22"/>
          <w:szCs w:val="22"/>
        </w:rPr>
        <w:t xml:space="preserve">Second Applicant, in person</w:t>
      </w:r>
    </w:p>
    <w:sectPr>
      <w:pgSz w:w="11906" w:h="16838" w:orient="portrait"/>
      <w:pgMar w:top="1134" w:right="1304" w:bottom="1134" w:left="130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2026-09-27T02:00:49.826Z</dcterms:created>
  <dcterms:modified xsi:type="dcterms:W3CDTF">2026-09-27T02:00:49.826Z</dcterms:modified>
</cp:coreProperties>
</file>

<file path=docProps/custom.xml><?xml version="1.0" encoding="utf-8"?>
<Properties xmlns="http://schemas.openxmlformats.org/officeDocument/2006/custom-properties" xmlns:vt="http://schemas.openxmlformats.org/officeDocument/2006/docPropsVTypes"/>
</file>