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Calibri" w:cs="Calibri" w:eastAsia="Calibri" w:hAnsi="Calibri"/>
          <w:b/>
          <w:bCs/>
          <w:sz w:val="24"/>
          <w:szCs w:val="24"/>
        </w:rPr>
        <w:t xml:space="preserve">ADMINISTRATIVE REVIEW TRIBUNAL</w:t>
      </w:r>
    </w:p>
    <w:p>
      <w:pPr>
        <w:spacing w:after="240"/>
        <w:jc w:val="center"/>
      </w:pPr>
      <w:r>
        <w:rPr>
          <w:rFonts w:ascii="Calibri" w:cs="Calibri" w:eastAsia="Calibri" w:hAnsi="Calibri"/>
          <w:sz w:val="22"/>
          <w:szCs w:val="22"/>
        </w:rPr>
        <w:t xml:space="preserve">BRISBANE REGISTRY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sz w:val="22"/>
                <w:szCs w:val="22"/>
              </w:rPr>
              <w:t xml:space="preserve">Tribunal Numbers:</w:t>
            </w:r>
          </w:p>
        </w:tc>
        <w:tc>
          <w:tcPr>
            <w:tcW w:type="dxa" w:w="6226"/>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b/>
                <w:bCs/>
                <w:sz w:val="22"/>
                <w:szCs w:val="22"/>
              </w:rPr>
              <w:t xml:space="preserve">2023/3361, 2023/3363 and 2023/4494</w:t>
            </w:r>
          </w:p>
        </w:tc>
      </w:tr>
      <w:tr>
        <w:tc>
          <w:tcPr>
            <w:tcW w:type="dxa" w:w="2800"/>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sz w:val="22"/>
                <w:szCs w:val="22"/>
              </w:rPr>
              <w:t xml:space="preserve">First Applicant:</w:t>
            </w:r>
          </w:p>
        </w:tc>
        <w:tc>
          <w:tcPr>
            <w:tcW w:type="dxa" w:w="6226"/>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b/>
                <w:bCs/>
                <w:sz w:val="22"/>
                <w:szCs w:val="22"/>
              </w:rPr>
              <w:t xml:space="preserve">VIDA REID</w:t>
            </w:r>
          </w:p>
        </w:tc>
      </w:tr>
      <w:tr>
        <w:tc>
          <w:tcPr>
            <w:tcW w:type="dxa" w:w="2800"/>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sz w:val="22"/>
                <w:szCs w:val="22"/>
              </w:rPr>
              <w:t xml:space="preserve">Second Applicant:</w:t>
            </w:r>
          </w:p>
        </w:tc>
        <w:tc>
          <w:tcPr>
            <w:tcW w:type="dxa" w:w="6226"/>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b/>
                <w:bCs/>
                <w:sz w:val="22"/>
                <w:szCs w:val="22"/>
              </w:rPr>
              <w:t xml:space="preserve">SIMON REID</w:t>
            </w:r>
          </w:p>
        </w:tc>
      </w:tr>
      <w:tr>
        <w:tc>
          <w:tcPr>
            <w:tcW w:type="dxa" w:w="2800"/>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sz w:val="22"/>
                <w:szCs w:val="22"/>
              </w:rPr>
              <w:t xml:space="preserve">Third Applicant:</w:t>
            </w:r>
          </w:p>
        </w:tc>
        <w:tc>
          <w:tcPr>
            <w:tcW w:type="dxa" w:w="6226"/>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b/>
                <w:bCs/>
                <w:sz w:val="22"/>
                <w:szCs w:val="22"/>
              </w:rPr>
              <w:t xml:space="preserve">FORWARD FOCUSED GROUP PTY LTD</w:t>
            </w:r>
          </w:p>
        </w:tc>
      </w:tr>
      <w:tr>
        <w:tc>
          <w:tcPr>
            <w:tcW w:type="dxa" w:w="2800"/>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sz w:val="22"/>
                <w:szCs w:val="22"/>
              </w:rPr>
              <w:t xml:space="preserve">Respondent:</w:t>
            </w:r>
          </w:p>
        </w:tc>
        <w:tc>
          <w:tcPr>
            <w:tcW w:type="dxa" w:w="6226"/>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b/>
                <w:bCs/>
                <w:sz w:val="22"/>
                <w:szCs w:val="22"/>
              </w:rPr>
              <w:t xml:space="preserve">COMMISSIONER OF THE NDIS QUALITY AND SAFEGUARDS COMMISSION</w:t>
            </w:r>
          </w:p>
        </w:tc>
      </w:tr>
    </w:tbl>
    <w:p>
      <w:pPr>
        <w:spacing w:before="240"/>
        <w:jc w:val="center"/>
      </w:pPr>
      <w:r>
        <w:rPr>
          <w:rFonts w:ascii="Calibri" w:cs="Calibri" w:eastAsia="Calibri" w:hAnsi="Calibri"/>
          <w:b/>
          <w:bCs/>
          <w:sz w:val="24"/>
          <w:szCs w:val="24"/>
        </w:rPr>
        <w:t xml:space="preserve">SECOND APPLICANT'S RESPONSE AND PROPOSED DIRECTIONS</w:t>
      </w:r>
    </w:p>
    <w:p>
      <w:pPr>
        <w:spacing w:after="200"/>
        <w:jc w:val="center"/>
      </w:pPr>
      <w:r>
        <w:rPr>
          <w:rFonts w:ascii="Calibri" w:cs="Calibri" w:eastAsia="Calibri" w:hAnsi="Calibri"/>
          <w:sz w:val="22"/>
          <w:szCs w:val="22"/>
        </w:rPr>
        <w:t xml:space="preserve">in response to the Tribunal's decision dated 31 July 2026 and the Respondent's proposed minute of order dated 14 August 2026</w:t>
      </w:r>
    </w:p>
    <w:p>
      <w:pPr>
        <w:spacing w:after="200"/>
        <w:jc w:val="both"/>
      </w:pPr>
      <w:r>
        <w:rPr>
          <w:rFonts w:ascii="Calibri" w:cs="Calibri" w:eastAsia="Calibri" w:hAnsi="Calibri"/>
          <w:b/>
          <w:bCs/>
          <w:i/>
          <w:iCs/>
          <w:sz w:val="20"/>
          <w:szCs w:val="20"/>
        </w:rPr>
        <w:t xml:space="preserve">Use of generative AI: </w:t>
      </w:r>
      <w:r>
        <w:rPr>
          <w:rFonts w:ascii="Calibri" w:cs="Calibri" w:eastAsia="Calibri" w:hAnsi="Calibri"/>
          <w:i/>
          <w:iCs/>
          <w:sz w:val="20"/>
          <w:szCs w:val="20"/>
        </w:rPr>
        <w:t xml:space="preserve">generative AI tools (Claude and ChatGPT) were used to help draft and check this document, including its account of the procedural history and its references to documents and cases. The Second Applicant has checked each quotation, date and reference in it against the source document.</w:t>
      </w:r>
    </w:p>
    <w:p>
      <w:pPr>
        <w:spacing w:after="120" w:before="240"/>
      </w:pPr>
      <w:r>
        <w:rPr>
          <w:rFonts w:ascii="Calibri" w:cs="Calibri" w:eastAsia="Calibri" w:hAnsi="Calibri"/>
          <w:b/>
          <w:bCs/>
          <w:sz w:val="22"/>
          <w:szCs w:val="22"/>
        </w:rPr>
        <w:t xml:space="preserve">A.  Position</w:t>
      </w:r>
    </w:p>
    <w:p>
      <w:pPr>
        <w:tabs>
          <w:tab w:val="left" w:pos="567"/>
        </w:tabs>
        <w:spacing w:after="120" w:line="276"/>
        <w:ind w:left="567" w:hanging="567"/>
        <w:jc w:val="both"/>
      </w:pPr>
      <w:r>
        <w:rPr>
          <w:rFonts w:ascii="Calibri" w:cs="Calibri" w:eastAsia="Calibri" w:hAnsi="Calibri"/>
          <w:sz w:val="22"/>
          <w:szCs w:val="22"/>
        </w:rPr>
        <w:t xml:space="preserve">1.	</w:t>
      </w:r>
      <w:r>
        <w:rPr>
          <w:rFonts w:ascii="Calibri" w:cs="Calibri" w:eastAsia="Calibri" w:hAnsi="Calibri"/>
          <w:sz w:val="22"/>
          <w:szCs w:val="22"/>
        </w:rPr>
        <w:t xml:space="preserve">This response is filed by the Second Applicant, Mr Simon Reid, in matter 2023/3363. It does not state the position of, and does not bind, the First or Third Applicants, each of which responds separately.</w:t>
      </w:r>
    </w:p>
    <w:p>
      <w:pPr>
        <w:tabs>
          <w:tab w:val="left" w:pos="567"/>
        </w:tabs>
        <w:spacing w:after="120" w:line="276"/>
        <w:ind w:left="567" w:hanging="567"/>
        <w:jc w:val="both"/>
      </w:pPr>
      <w:r>
        <w:rPr>
          <w:rFonts w:ascii="Calibri" w:cs="Calibri" w:eastAsia="Calibri" w:hAnsi="Calibri"/>
          <w:sz w:val="22"/>
          <w:szCs w:val="22"/>
        </w:rPr>
        <w:t xml:space="preserve">2.	</w:t>
      </w:r>
      <w:r>
        <w:rPr>
          <w:rFonts w:ascii="Calibri" w:cs="Calibri" w:eastAsia="Calibri" w:hAnsi="Calibri"/>
          <w:sz w:val="22"/>
          <w:szCs w:val="22"/>
        </w:rPr>
        <w:t xml:space="preserve">The Second Applicant notes the Tribunal's decision dated 31 July 2026 that the applications proceed together and will proceed in accordance with it. He supports the matters proceeding to a final hearing without further delay, and agrees with the broad steps in the Respondent's minute of 14 August 2026 (a supplementary tender bundle, SFICs with evidence, and a final hearing), subject to the sequence and content proposed below.</w:t>
      </w:r>
    </w:p>
    <w:p>
      <w:pPr>
        <w:tabs>
          <w:tab w:val="left" w:pos="567"/>
        </w:tabs>
        <w:spacing w:after="120" w:line="276"/>
        <w:ind w:left="567" w:hanging="567"/>
        <w:jc w:val="both"/>
      </w:pPr>
      <w:r>
        <w:rPr>
          <w:rFonts w:ascii="Calibri" w:cs="Calibri" w:eastAsia="Calibri" w:hAnsi="Calibri"/>
          <w:sz w:val="22"/>
          <w:szCs w:val="22"/>
        </w:rPr>
        <w:t xml:space="preserve">3.	</w:t>
      </w:r>
      <w:r>
        <w:rPr>
          <w:rFonts w:ascii="Calibri" w:cs="Calibri" w:eastAsia="Calibri" w:hAnsi="Calibri"/>
          <w:sz w:val="22"/>
          <w:szCs w:val="22"/>
        </w:rPr>
        <w:t xml:space="preserve">Nothing in this response, or omitted from it, is an admission of any fact or contention advanced by the Respondent, and nothing in it waives any privilege.</w:t>
      </w:r>
    </w:p>
    <w:p>
      <w:pPr>
        <w:spacing w:after="120" w:before="240"/>
      </w:pPr>
      <w:r>
        <w:rPr>
          <w:rFonts w:ascii="Calibri" w:cs="Calibri" w:eastAsia="Calibri" w:hAnsi="Calibri"/>
          <w:b/>
          <w:bCs/>
          <w:sz w:val="22"/>
          <w:szCs w:val="22"/>
        </w:rPr>
        <w:t xml:space="preserve">B.  Timing</w:t>
      </w:r>
    </w:p>
    <w:p>
      <w:pPr>
        <w:tabs>
          <w:tab w:val="left" w:pos="567"/>
        </w:tabs>
        <w:spacing w:after="120" w:line="276"/>
        <w:ind w:left="567" w:hanging="567"/>
        <w:jc w:val="both"/>
      </w:pPr>
      <w:r>
        <w:rPr>
          <w:rFonts w:ascii="Calibri" w:cs="Calibri" w:eastAsia="Calibri" w:hAnsi="Calibri"/>
          <w:sz w:val="22"/>
          <w:szCs w:val="22"/>
        </w:rPr>
        <w:t xml:space="preserve">4.	</w:t>
      </w:r>
      <w:r>
        <w:rPr>
          <w:rFonts w:ascii="Calibri" w:cs="Calibri" w:eastAsia="Calibri" w:hAnsi="Calibri"/>
          <w:sz w:val="22"/>
          <w:szCs w:val="22"/>
        </w:rPr>
        <w:t xml:space="preserve">The order under review was made on 21 December 2022 and varied on internal review on 21 April 2023. The varied order runs until 12.00am on 22 December 2027 (AWST). (The decision records at [10] an operative period ending on 22 December 2025; the varied order runs to 22 December 2027.) The internal review found the Second Applicant not suitable </w:t>
      </w:r>
      <w:r>
        <w:rPr>
          <w:rFonts w:ascii="Calibri" w:cs="Calibri" w:eastAsia="Calibri" w:hAnsi="Calibri"/>
          <w:sz w:val="22"/>
          <w:szCs w:val="22"/>
        </w:rPr>
        <w:t xml:space="preserve">“at this time”</w:t>
      </w:r>
      <w:r>
        <w:rPr>
          <w:rFonts w:ascii="Calibri" w:cs="Calibri" w:eastAsia="Calibri" w:hAnsi="Calibri"/>
          <w:sz w:val="22"/>
          <w:szCs w:val="22"/>
        </w:rPr>
        <w:t xml:space="preserve">, having regard to </w:t>
      </w:r>
      <w:r>
        <w:rPr>
          <w:rFonts w:ascii="Calibri" w:cs="Calibri" w:eastAsia="Calibri" w:hAnsi="Calibri"/>
          <w:sz w:val="22"/>
          <w:szCs w:val="22"/>
        </w:rPr>
        <w:t xml:space="preserve">“the ongoing investigation by the NDIA and law enforcement agencies into the fraudulent conduct Mr Reid is alleged to have engaged in”</w:t>
      </w:r>
      <w:r>
        <w:rPr>
          <w:rFonts w:ascii="Calibri" w:cs="Calibri" w:eastAsia="Calibri" w:hAnsi="Calibri"/>
          <w:sz w:val="22"/>
          <w:szCs w:val="22"/>
        </w:rPr>
        <w:t xml:space="preserve"> (at [46]). It fixed the period to correspond with </w:t>
      </w:r>
      <w:r>
        <w:rPr>
          <w:rFonts w:ascii="Calibri" w:cs="Calibri" w:eastAsia="Calibri" w:hAnsi="Calibri"/>
          <w:sz w:val="22"/>
          <w:szCs w:val="22"/>
        </w:rPr>
        <w:t xml:space="preserve">“the current regulatory and legal processes that are in motion in relation to Mr Reid”</w:t>
      </w:r>
      <w:r>
        <w:rPr>
          <w:rFonts w:ascii="Calibri" w:cs="Calibri" w:eastAsia="Calibri" w:hAnsi="Calibri"/>
          <w:sz w:val="22"/>
          <w:szCs w:val="22"/>
        </w:rPr>
        <w:t xml:space="preserve">, and stated that upon their determination the order </w:t>
      </w:r>
      <w:r>
        <w:rPr>
          <w:rFonts w:ascii="Calibri" w:cs="Calibri" w:eastAsia="Calibri" w:hAnsi="Calibri"/>
          <w:sz w:val="22"/>
          <w:szCs w:val="22"/>
        </w:rPr>
        <w:t xml:space="preserve">“can be revisited”</w:t>
      </w:r>
      <w:r>
        <w:rPr>
          <w:rFonts w:ascii="Calibri" w:cs="Calibri" w:eastAsia="Calibri" w:hAnsi="Calibri"/>
          <w:sz w:val="22"/>
          <w:szCs w:val="22"/>
        </w:rPr>
        <w:t xml:space="preserve"> (at [47]). On 28 February 2024 the Respondent informed the Tribunal that a brief of evidence in relation to the Second Applicant had not been sent to the Commonwealth Director of Public Prosecutions (submissions in reply at [6]). The Second Applicant has not been charged with any offence.</w:t>
      </w:r>
    </w:p>
    <w:p>
      <w:pPr>
        <w:tabs>
          <w:tab w:val="left" w:pos="567"/>
        </w:tabs>
        <w:spacing w:after="120" w:line="276"/>
        <w:ind w:left="567" w:hanging="567"/>
        <w:jc w:val="both"/>
      </w:pPr>
      <w:r>
        <w:rPr>
          <w:rFonts w:ascii="Calibri" w:cs="Calibri" w:eastAsia="Calibri" w:hAnsi="Calibri"/>
          <w:sz w:val="22"/>
          <w:szCs w:val="22"/>
        </w:rPr>
        <w:t xml:space="preserve">5.	</w:t>
      </w:r>
      <w:r>
        <w:rPr>
          <w:rFonts w:ascii="Calibri" w:cs="Calibri" w:eastAsia="Calibri" w:hAnsi="Calibri"/>
          <w:sz w:val="22"/>
          <w:szCs w:val="22"/>
        </w:rPr>
        <w:t xml:space="preserve">The present position is as follows:</w:t>
      </w:r>
    </w:p>
    <w:p>
      <w:pPr>
        <w:tabs>
          <w:tab w:val="left" w:pos="1134"/>
        </w:tabs>
        <w:spacing w:after="80" w:line="276"/>
        <w:ind w:left="1134" w:hanging="567"/>
        <w:jc w:val="both"/>
      </w:pPr>
      <w:r>
        <w:rPr>
          <w:rFonts w:ascii="Calibri" w:cs="Calibri" w:eastAsia="Calibri" w:hAnsi="Calibri"/>
          <w:sz w:val="22"/>
          <w:szCs w:val="22"/>
        </w:rPr>
        <w:t xml:space="preserve">(a)	</w:t>
      </w:r>
      <w:r>
        <w:rPr>
          <w:rFonts w:ascii="Calibri" w:cs="Calibri" w:eastAsia="Calibri" w:hAnsi="Calibri"/>
          <w:sz w:val="22"/>
          <w:szCs w:val="22"/>
        </w:rPr>
        <w:t xml:space="preserve">The Respondent's application of 7 May 2026 under section 70 of the </w:t>
      </w:r>
      <w:r>
        <w:rPr>
          <w:rFonts w:ascii="Calibri" w:cs="Calibri" w:eastAsia="Calibri" w:hAnsi="Calibri"/>
          <w:i/>
          <w:iCs/>
          <w:sz w:val="22"/>
          <w:szCs w:val="22"/>
        </w:rPr>
        <w:t xml:space="preserve">Administrative Review Tribunal Act 2024</w:t>
      </w:r>
      <w:r>
        <w:rPr>
          <w:rFonts w:ascii="Calibri" w:cs="Calibri" w:eastAsia="Calibri" w:hAnsi="Calibri"/>
          <w:sz w:val="22"/>
          <w:szCs w:val="22"/>
        </w:rPr>
        <w:t xml:space="preserve"> (</w:t>
      </w:r>
      <w:r>
        <w:rPr>
          <w:rFonts w:ascii="Calibri" w:cs="Calibri" w:eastAsia="Calibri" w:hAnsi="Calibri"/>
          <w:i/>
          <w:iCs/>
          <w:sz w:val="22"/>
          <w:szCs w:val="22"/>
        </w:rPr>
        <w:t xml:space="preserve">ART Act</w:t>
      </w:r>
      <w:r>
        <w:rPr>
          <w:rFonts w:ascii="Calibri" w:cs="Calibri" w:eastAsia="Calibri" w:hAnsi="Calibri"/>
          <w:sz w:val="22"/>
          <w:szCs w:val="22"/>
        </w:rPr>
        <w:t xml:space="preserve">) remains undetermined. The Second Applicant filed submissions in response on 19 May 2026.</w:t>
      </w:r>
    </w:p>
    <w:p>
      <w:pPr>
        <w:tabs>
          <w:tab w:val="left" w:pos="1134"/>
        </w:tabs>
        <w:spacing w:after="80" w:line="276"/>
        <w:ind w:left="1134" w:hanging="567"/>
        <w:jc w:val="both"/>
      </w:pPr>
      <w:r>
        <w:rPr>
          <w:rFonts w:ascii="Calibri" w:cs="Calibri" w:eastAsia="Calibri" w:hAnsi="Calibri"/>
          <w:sz w:val="22"/>
          <w:szCs w:val="22"/>
        </w:rPr>
        <w:t xml:space="preserve">(b)	</w:t>
      </w:r>
      <w:r>
        <w:rPr>
          <w:rFonts w:ascii="Calibri" w:cs="Calibri" w:eastAsia="Calibri" w:hAnsi="Calibri"/>
          <w:sz w:val="22"/>
          <w:szCs w:val="22"/>
        </w:rPr>
        <w:t xml:space="preserve">At [41] of its decision the Tribunal directed the Respondent to file and serve a proposed timetable within 14 days and indicated that the applications would then be relisted for a telephone directions hearing. The Respondent served its minute on 14 August 2026. No directions hearing has yet been listed.</w:t>
      </w:r>
    </w:p>
    <w:p>
      <w:pPr>
        <w:tabs>
          <w:tab w:val="left" w:pos="1134"/>
        </w:tabs>
        <w:spacing w:after="80" w:line="276"/>
        <w:ind w:left="1134" w:hanging="567"/>
        <w:jc w:val="both"/>
      </w:pPr>
      <w:r>
        <w:rPr>
          <w:rFonts w:ascii="Calibri" w:cs="Calibri" w:eastAsia="Calibri" w:hAnsi="Calibri"/>
          <w:sz w:val="22"/>
          <w:szCs w:val="22"/>
        </w:rPr>
        <w:t xml:space="preserve">(c)	</w:t>
      </w:r>
      <w:r>
        <w:rPr>
          <w:rFonts w:ascii="Calibri" w:cs="Calibri" w:eastAsia="Calibri" w:hAnsi="Calibri"/>
          <w:sz w:val="22"/>
          <w:szCs w:val="22"/>
        </w:rPr>
        <w:t xml:space="preserve">On 19 March 2026 the Respondent informed the Tribunal that documents relating to the Second Applicant </w:t>
      </w:r>
      <w:r>
        <w:rPr>
          <w:rFonts w:ascii="Calibri" w:cs="Calibri" w:eastAsia="Calibri" w:hAnsi="Calibri"/>
          <w:sz w:val="22"/>
          <w:szCs w:val="22"/>
        </w:rPr>
        <w:t xml:space="preserve">“were not included in the previous tender bundle”</w:t>
      </w:r>
      <w:r>
        <w:rPr>
          <w:rFonts w:ascii="Calibri" w:cs="Calibri" w:eastAsia="Calibri" w:hAnsi="Calibri"/>
          <w:sz w:val="22"/>
          <w:szCs w:val="22"/>
        </w:rPr>
        <w:t xml:space="preserve"> (submissions at [15]), and proposed to file an updated tender bundle </w:t>
      </w:r>
      <w:r>
        <w:rPr>
          <w:rFonts w:ascii="Calibri" w:cs="Calibri" w:eastAsia="Calibri" w:hAnsi="Calibri"/>
          <w:sz w:val="22"/>
          <w:szCs w:val="22"/>
        </w:rPr>
        <w:t xml:space="preserve">“consisting of all documents required to be produced under section 23”</w:t>
      </w:r>
      <w:r>
        <w:rPr>
          <w:rFonts w:ascii="Calibri" w:cs="Calibri" w:eastAsia="Calibri" w:hAnsi="Calibri"/>
          <w:sz w:val="22"/>
          <w:szCs w:val="22"/>
        </w:rPr>
        <w:t xml:space="preserve"> of the ART Act (at [18.1]). The Respondent separately provided copies of a number of those documents to the Second Applicant in May 2026. Its minute proposed that the bundle be filed by 28 August 2026. No order has been made, and the Second Applicant has not received the bundle.</w:t>
      </w:r>
    </w:p>
    <w:p>
      <w:pPr>
        <w:tabs>
          <w:tab w:val="left" w:pos="1134"/>
        </w:tabs>
        <w:spacing w:after="80" w:line="276"/>
        <w:ind w:left="1134" w:hanging="567"/>
        <w:jc w:val="both"/>
      </w:pPr>
      <w:r>
        <w:rPr>
          <w:rFonts w:ascii="Calibri" w:cs="Calibri" w:eastAsia="Calibri" w:hAnsi="Calibri"/>
          <w:sz w:val="22"/>
          <w:szCs w:val="22"/>
        </w:rPr>
        <w:t xml:space="preserve">(d)	</w:t>
      </w:r>
      <w:r>
        <w:rPr>
          <w:rFonts w:ascii="Calibri" w:cs="Calibri" w:eastAsia="Calibri" w:hAnsi="Calibri"/>
          <w:sz w:val="22"/>
          <w:szCs w:val="22"/>
        </w:rPr>
        <w:t xml:space="preserve">The minute proposed that the applicants file their updated statements of facts, issues and contentions (</w:t>
      </w:r>
      <w:r>
        <w:rPr>
          <w:rFonts w:ascii="Calibri" w:cs="Calibri" w:eastAsia="Calibri" w:hAnsi="Calibri"/>
          <w:i/>
          <w:iCs/>
          <w:sz w:val="22"/>
          <w:szCs w:val="22"/>
        </w:rPr>
        <w:t xml:space="preserve">SFICs</w:t>
      </w:r>
      <w:r>
        <w:rPr>
          <w:rFonts w:ascii="Calibri" w:cs="Calibri" w:eastAsia="Calibri" w:hAnsi="Calibri"/>
          <w:sz w:val="22"/>
          <w:szCs w:val="22"/>
        </w:rPr>
        <w:t xml:space="preserve">) and evidence by 25 September 2026 — four weeks after a bundle that has not been served, before the section 70 application is determined, and before the Respondent has identified the case it relies on against each applicant. No order was made in those terms.</w:t>
      </w:r>
    </w:p>
    <w:p>
      <w:pPr>
        <w:tabs>
          <w:tab w:val="left" w:pos="1134"/>
        </w:tabs>
        <w:spacing w:after="80" w:line="276"/>
        <w:ind w:left="1134" w:hanging="567"/>
        <w:jc w:val="both"/>
      </w:pPr>
      <w:r>
        <w:rPr>
          <w:rFonts w:ascii="Calibri" w:cs="Calibri" w:eastAsia="Calibri" w:hAnsi="Calibri"/>
          <w:sz w:val="22"/>
          <w:szCs w:val="22"/>
        </w:rPr>
        <w:t xml:space="preserve">(e)	</w:t>
      </w:r>
      <w:r>
        <w:rPr>
          <w:rFonts w:ascii="Calibri" w:cs="Calibri" w:eastAsia="Calibri" w:hAnsi="Calibri"/>
          <w:sz w:val="22"/>
          <w:szCs w:val="22"/>
        </w:rPr>
        <w:t xml:space="preserve">On 2 November 2023 the Respondent submitted that it would </w:t>
      </w:r>
      <w:r>
        <w:rPr>
          <w:rFonts w:ascii="Calibri" w:cs="Calibri" w:eastAsia="Calibri" w:hAnsi="Calibri"/>
          <w:sz w:val="22"/>
          <w:szCs w:val="22"/>
        </w:rPr>
        <w:t xml:space="preserve">“be happy to work on an expedited timetable to progress these matters when the current (and any reasonably possible) criminal proceedings are concluded”</w:t>
      </w:r>
      <w:r>
        <w:rPr>
          <w:rFonts w:ascii="Calibri" w:cs="Calibri" w:eastAsia="Calibri" w:hAnsi="Calibri"/>
          <w:sz w:val="22"/>
          <w:szCs w:val="22"/>
        </w:rPr>
        <w:t xml:space="preserve"> (submissions at [23]).</w:t>
      </w:r>
    </w:p>
    <w:p>
      <w:pPr>
        <w:tabs>
          <w:tab w:val="left" w:pos="567"/>
        </w:tabs>
        <w:spacing w:after="120" w:line="276"/>
        <w:ind w:left="567" w:hanging="567"/>
        <w:jc w:val="both"/>
      </w:pPr>
      <w:r>
        <w:rPr>
          <w:rFonts w:ascii="Calibri" w:cs="Calibri" w:eastAsia="Calibri" w:hAnsi="Calibri"/>
          <w:sz w:val="22"/>
          <w:szCs w:val="22"/>
        </w:rPr>
        <w:t xml:space="preserve">6.	</w:t>
      </w:r>
      <w:r>
        <w:rPr>
          <w:rFonts w:ascii="Calibri" w:cs="Calibri" w:eastAsia="Calibri" w:hAnsi="Calibri"/>
          <w:sz w:val="22"/>
          <w:szCs w:val="22"/>
        </w:rPr>
        <w:t xml:space="preserve">The procedural history includes delay from a number of causes. The Second Applicant does not seek to revisit it. The Second Applicant asks for a timetable with firm dates that allows the review to be heard and decided well before December 2027, when the individual orders against the First and Second Applicants expire.</w:t>
      </w:r>
    </w:p>
    <w:p>
      <w:pPr>
        <w:tabs>
          <w:tab w:val="left" w:pos="567"/>
        </w:tabs>
        <w:spacing w:after="120" w:line="276"/>
        <w:ind w:left="567" w:hanging="567"/>
        <w:jc w:val="both"/>
      </w:pPr>
      <w:r>
        <w:rPr>
          <w:rFonts w:ascii="Calibri" w:cs="Calibri" w:eastAsia="Calibri" w:hAnsi="Calibri"/>
          <w:sz w:val="22"/>
          <w:szCs w:val="22"/>
        </w:rPr>
        <w:t xml:space="preserve">7.	</w:t>
      </w:r>
      <w:r>
        <w:rPr>
          <w:rFonts w:ascii="Calibri" w:cs="Calibri" w:eastAsia="Calibri" w:hAnsi="Calibri"/>
          <w:sz w:val="22"/>
          <w:szCs w:val="22"/>
        </w:rPr>
        <w:t xml:space="preserve">The sequence proposed in Part F runs for the same period as the Respondent's minute: 84 days from the start of the timetable to the date for replies. Its main differences are that the section 70 application is determined first, the Respondent's statement of its case is served with the supplementary tender bundle, the time for the Second Applicant's material runs from service rather than from fixed dates, and there is a step for identifying witnesses.</w:t>
      </w:r>
    </w:p>
    <w:p>
      <w:pPr>
        <w:spacing w:after="120" w:before="240"/>
      </w:pPr>
      <w:r>
        <w:rPr>
          <w:rFonts w:ascii="Calibri" w:cs="Calibri" w:eastAsia="Calibri" w:hAnsi="Calibri"/>
          <w:b/>
          <w:bCs/>
          <w:sz w:val="22"/>
          <w:szCs w:val="22"/>
        </w:rPr>
        <w:t xml:space="preserve">C.  The findings the Tribunal must make, and the case the Second Applicant must meet</w:t>
      </w:r>
    </w:p>
    <w:p>
      <w:pPr>
        <w:tabs>
          <w:tab w:val="left" w:pos="567"/>
        </w:tabs>
        <w:spacing w:after="120" w:line="276"/>
        <w:ind w:left="567" w:hanging="567"/>
        <w:jc w:val="both"/>
      </w:pPr>
      <w:r>
        <w:rPr>
          <w:rFonts w:ascii="Calibri" w:cs="Calibri" w:eastAsia="Calibri" w:hAnsi="Calibri"/>
          <w:sz w:val="22"/>
          <w:szCs w:val="22"/>
        </w:rPr>
        <w:t xml:space="preserve">8.	</w:t>
      </w:r>
      <w:r>
        <w:rPr>
          <w:rFonts w:ascii="Calibri" w:cs="Calibri" w:eastAsia="Calibri" w:hAnsi="Calibri"/>
          <w:sz w:val="22"/>
          <w:szCs w:val="22"/>
        </w:rPr>
        <w:t xml:space="preserve">At [38] of its decision the Tribunal identified that it will need to consider whether each applicant is a suitable person to be involved in the provision of services to people with disability under section 73ZN(2) of the </w:t>
      </w:r>
      <w:r>
        <w:rPr>
          <w:rFonts w:ascii="Calibri" w:cs="Calibri" w:eastAsia="Calibri" w:hAnsi="Calibri"/>
          <w:i/>
          <w:iCs/>
          <w:sz w:val="22"/>
          <w:szCs w:val="22"/>
        </w:rPr>
        <w:t xml:space="preserve">National Disability Insurance Scheme Act 2013</w:t>
      </w:r>
      <w:r>
        <w:rPr>
          <w:rFonts w:ascii="Calibri" w:cs="Calibri" w:eastAsia="Calibri" w:hAnsi="Calibri"/>
          <w:sz w:val="22"/>
          <w:szCs w:val="22"/>
        </w:rPr>
        <w:t xml:space="preserve"> (</w:t>
      </w:r>
      <w:r>
        <w:rPr>
          <w:rFonts w:ascii="Calibri" w:cs="Calibri" w:eastAsia="Calibri" w:hAnsi="Calibri"/>
          <w:i/>
          <w:iCs/>
          <w:sz w:val="22"/>
          <w:szCs w:val="22"/>
        </w:rPr>
        <w:t xml:space="preserve">NDIS Act</w:t>
      </w:r>
      <w:r>
        <w:rPr>
          <w:rFonts w:ascii="Calibri" w:cs="Calibri" w:eastAsia="Calibri" w:hAnsi="Calibri"/>
          <w:sz w:val="22"/>
          <w:szCs w:val="22"/>
        </w:rPr>
        <w:t xml:space="preserve">), which will require findings relating to the allegations, including (a) whether any NDIS funding was made or received for services that had not been provided to the participant; (b) whether Mr Reid or Mrs Reid had intimidated or harassed any participant; and (c) whether Mr Reid or Mrs Reid had contravened their respective banning orders.</w:t>
      </w:r>
    </w:p>
    <w:p>
      <w:pPr>
        <w:tabs>
          <w:tab w:val="left" w:pos="567"/>
        </w:tabs>
        <w:spacing w:after="120" w:line="276"/>
        <w:ind w:left="567" w:hanging="567"/>
        <w:jc w:val="both"/>
      </w:pPr>
      <w:r>
        <w:rPr>
          <w:rFonts w:ascii="Calibri" w:cs="Calibri" w:eastAsia="Calibri" w:hAnsi="Calibri"/>
          <w:sz w:val="22"/>
          <w:szCs w:val="22"/>
        </w:rPr>
        <w:t xml:space="preserve">9.	</w:t>
      </w:r>
      <w:r>
        <w:rPr>
          <w:rFonts w:ascii="Calibri" w:cs="Calibri" w:eastAsia="Calibri" w:hAnsi="Calibri"/>
          <w:sz w:val="22"/>
          <w:szCs w:val="22"/>
        </w:rPr>
        <w:t xml:space="preserve">The matters summarised at [35] to [37] of the decision are, as [38] records, allegations; in summarising them the Tribunal was assisted by the Respondent's summary (at [33]). The Second Applicant disputes them in so far as they are relied on against him.</w:t>
      </w:r>
    </w:p>
    <w:p>
      <w:pPr>
        <w:tabs>
          <w:tab w:val="left" w:pos="567"/>
        </w:tabs>
        <w:spacing w:after="120" w:line="276"/>
        <w:ind w:left="567" w:hanging="567"/>
        <w:jc w:val="both"/>
      </w:pPr>
      <w:r>
        <w:rPr>
          <w:rFonts w:ascii="Calibri" w:cs="Calibri" w:eastAsia="Calibri" w:hAnsi="Calibri"/>
          <w:sz w:val="22"/>
          <w:szCs w:val="22"/>
        </w:rPr>
        <w:t xml:space="preserve">10.	</w:t>
      </w:r>
      <w:r>
        <w:rPr>
          <w:rFonts w:ascii="Calibri" w:cs="Calibri" w:eastAsia="Calibri" w:hAnsi="Calibri"/>
          <w:sz w:val="22"/>
          <w:szCs w:val="22"/>
        </w:rPr>
        <w:t xml:space="preserve">The question at [38] is the suitability of each applicant. The matters at [38](b) and (c) are expressly personal. The matter at [38](a) concerns claims made by companies. For it to bear on the Second Applicant's suitability, the Tribunal would need to be satisfied, on cogent evidence, not only that particular claims were made for services that were not provided, but also what, if anything, the Second Applicant personally did or failed to do in relation to them. The Commission's investigation note recorded: </w:t>
      </w:r>
      <w:r>
        <w:rPr>
          <w:rFonts w:ascii="Calibri" w:cs="Calibri" w:eastAsia="Calibri" w:hAnsi="Calibri"/>
          <w:sz w:val="22"/>
          <w:szCs w:val="22"/>
        </w:rPr>
        <w:t xml:space="preserve">“Despite emails for FFG and The Hive being directed to or including Simon Reid the Commission has limited information about his actual involvement in the operations.”</w:t>
      </w:r>
      <w:r>
        <w:rPr>
          <w:rFonts w:ascii="Calibri" w:cs="Calibri" w:eastAsia="Calibri" w:hAnsi="Calibri"/>
          <w:sz w:val="22"/>
          <w:szCs w:val="22"/>
        </w:rPr>
        <w:t xml:space="preserve"> (tender T9.4, p 178). The Commission's Banning Order Policy, to which the Tribunal may have regard, states that a member of the key personnel of a provider </w:t>
      </w:r>
      <w:r>
        <w:rPr>
          <w:rFonts w:ascii="Calibri" w:cs="Calibri" w:eastAsia="Calibri" w:hAnsi="Calibri"/>
          <w:sz w:val="22"/>
          <w:szCs w:val="22"/>
        </w:rPr>
        <w:t xml:space="preserve">“would be unlikely to receive a banning order, unless either directly involved in the conduct of concern or having failed to take appropriate steps for which they were responsible which significantly facilitated, contributed to or exacerbated the conduct”</w:t>
      </w:r>
      <w:r>
        <w:rPr>
          <w:rFonts w:ascii="Calibri" w:cs="Calibri" w:eastAsia="Calibri" w:hAnsi="Calibri"/>
          <w:sz w:val="22"/>
          <w:szCs w:val="22"/>
        </w:rPr>
        <w:t xml:space="preserve"> (tender T6, p 142).</w:t>
      </w:r>
    </w:p>
    <w:p>
      <w:pPr>
        <w:tabs>
          <w:tab w:val="left" w:pos="567"/>
        </w:tabs>
        <w:spacing w:after="120" w:line="276"/>
        <w:ind w:left="567" w:hanging="567"/>
        <w:jc w:val="both"/>
      </w:pPr>
      <w:r>
        <w:rPr>
          <w:rFonts w:ascii="Calibri" w:cs="Calibri" w:eastAsia="Calibri" w:hAnsi="Calibri"/>
          <w:sz w:val="22"/>
          <w:szCs w:val="22"/>
        </w:rPr>
        <w:t xml:space="preserve">11.	</w:t>
      </w:r>
      <w:r>
        <w:rPr>
          <w:rFonts w:ascii="Calibri" w:cs="Calibri" w:eastAsia="Calibri" w:hAnsi="Calibri"/>
          <w:sz w:val="22"/>
          <w:szCs w:val="22"/>
        </w:rPr>
        <w:t xml:space="preserve">The claim totals in the briefing notes are drawn from Attachment J (the Tactical Intelligence Report), which is withheld under the orders of 26 July 2024 (see EC22-002521 at [3.3]). The Second Applicant has not identified, in the material served on him, any document that reconciles the claims relied on against him with the service records for those claims. He does not ask the Tribunal to limit the material the Respondent may rely on. He asks that the Respondent identify, before he files his evidence, the claims and conduct it relies on against him and the evidence for each, so that the hearing addresses a defined case rather than allegations at large.</w:t>
      </w:r>
    </w:p>
    <w:p>
      <w:pPr>
        <w:tabs>
          <w:tab w:val="left" w:pos="567"/>
        </w:tabs>
        <w:spacing w:after="120" w:line="276"/>
        <w:ind w:left="567" w:hanging="567"/>
        <w:jc w:val="both"/>
      </w:pPr>
      <w:r>
        <w:rPr>
          <w:rFonts w:ascii="Calibri" w:cs="Calibri" w:eastAsia="Calibri" w:hAnsi="Calibri"/>
          <w:sz w:val="22"/>
          <w:szCs w:val="22"/>
        </w:rPr>
        <w:t xml:space="preserve">12.	</w:t>
      </w:r>
      <w:r>
        <w:rPr>
          <w:rFonts w:ascii="Calibri" w:cs="Calibri" w:eastAsia="Calibri" w:hAnsi="Calibri"/>
          <w:sz w:val="22"/>
          <w:szCs w:val="22"/>
        </w:rPr>
        <w:t xml:space="preserve">The Second Applicant asks that the final hearing be an oral hearing. The findings identified at [38](b) and (c) concern allegations about his personal conduct, which he disputes, and he seeks to question the makers of any statements relied on for those findings. On 7 November 2025, while generally supporting a process conducted primarily on the papers, he asked that the Tribunal </w:t>
      </w:r>
      <w:r>
        <w:rPr>
          <w:rFonts w:ascii="Calibri" w:cs="Calibri" w:eastAsia="Calibri" w:hAnsi="Calibri"/>
          <w:sz w:val="22"/>
          <w:szCs w:val="22"/>
        </w:rPr>
        <w:t xml:space="preserve">“reserve discretion to list the matter for oral hearing should fairness require it”</w:t>
      </w:r>
      <w:r>
        <w:rPr>
          <w:rFonts w:ascii="Calibri" w:cs="Calibri" w:eastAsia="Calibri" w:hAnsi="Calibri"/>
          <w:sz w:val="22"/>
          <w:szCs w:val="22"/>
        </w:rPr>
        <w:t xml:space="preserve">.</w:t>
      </w:r>
    </w:p>
    <w:p>
      <w:pPr>
        <w:spacing w:after="120" w:before="240"/>
      </w:pPr>
      <w:r>
        <w:rPr>
          <w:rFonts w:ascii="Calibri" w:cs="Calibri" w:eastAsia="Calibri" w:hAnsi="Calibri"/>
          <w:b/>
          <w:bCs/>
          <w:sz w:val="22"/>
          <w:szCs w:val="22"/>
        </w:rPr>
        <w:t xml:space="preserve">D.  Documents</w:t>
      </w:r>
    </w:p>
    <w:p>
      <w:pPr>
        <w:tabs>
          <w:tab w:val="left" w:pos="567"/>
        </w:tabs>
        <w:spacing w:after="120" w:line="276"/>
        <w:ind w:left="567" w:hanging="567"/>
        <w:jc w:val="both"/>
      </w:pPr>
      <w:r>
        <w:rPr>
          <w:rFonts w:ascii="Calibri" w:cs="Calibri" w:eastAsia="Calibri" w:hAnsi="Calibri"/>
          <w:sz w:val="22"/>
          <w:szCs w:val="22"/>
        </w:rPr>
        <w:t xml:space="preserve">13.	</w:t>
      </w:r>
      <w:r>
        <w:rPr>
          <w:rFonts w:ascii="Calibri" w:cs="Calibri" w:eastAsia="Calibri" w:hAnsi="Calibri"/>
          <w:sz w:val="22"/>
          <w:szCs w:val="22"/>
        </w:rPr>
        <w:t xml:space="preserve">The Respondent's letter of 7 May 2026 records that it has not provided, among others, Attachments A to G and Q to briefing note EC22-002103 (on the basis that they relate solely to unrelated companies) and Attachment P to that briefing note (described as an internal email chain assessed as not relevant). The briefing note itself records Attachment B as the notice of intention issued to Hybrid Hive Pty Ltd (the entity through which conduct is attributed to the Second Applicant), Attachment P as recording the NDIA's notes on the use of its evidence (at [31]), and Attachment Q as the risk assessment concerning Hybrid Hive Pty Ltd (at [33.1]). Briefing note EC22-002521 also refers to an Attachment P (at [16]), which the letter does not address.</w:t>
      </w:r>
    </w:p>
    <w:p>
      <w:pPr>
        <w:tabs>
          <w:tab w:val="left" w:pos="567"/>
        </w:tabs>
        <w:spacing w:after="120" w:line="276"/>
        <w:ind w:left="567" w:hanging="567"/>
        <w:jc w:val="both"/>
      </w:pPr>
      <w:r>
        <w:rPr>
          <w:rFonts w:ascii="Calibri" w:cs="Calibri" w:eastAsia="Calibri" w:hAnsi="Calibri"/>
          <w:sz w:val="22"/>
          <w:szCs w:val="22"/>
        </w:rPr>
        <w:t xml:space="preserve">14.	</w:t>
      </w:r>
      <w:r>
        <w:rPr>
          <w:rFonts w:ascii="Calibri" w:cs="Calibri" w:eastAsia="Calibri" w:hAnsi="Calibri"/>
          <w:sz w:val="22"/>
          <w:szCs w:val="22"/>
        </w:rPr>
        <w:t xml:space="preserve">On 12 September 2023 the Tribunal ordered (order 2) that, until further order and </w:t>
      </w:r>
      <w:r>
        <w:rPr>
          <w:rFonts w:ascii="Calibri" w:cs="Calibri" w:eastAsia="Calibri" w:hAnsi="Calibri"/>
          <w:sz w:val="22"/>
          <w:szCs w:val="22"/>
        </w:rPr>
        <w:t xml:space="preserve">“by reason of current criminal proceedings and/or legal professional privilege”</w:t>
      </w:r>
      <w:r>
        <w:rPr>
          <w:rFonts w:ascii="Calibri" w:cs="Calibri" w:eastAsia="Calibri" w:hAnsi="Calibri"/>
          <w:sz w:val="22"/>
          <w:szCs w:val="22"/>
        </w:rPr>
        <w:t xml:space="preserve">, the Respondent was not required to give the applicants the documents in the bundle marked </w:t>
      </w:r>
      <w:r>
        <w:rPr>
          <w:rFonts w:ascii="Calibri" w:cs="Calibri" w:eastAsia="Calibri" w:hAnsi="Calibri"/>
          <w:sz w:val="22"/>
          <w:szCs w:val="22"/>
        </w:rPr>
        <w:t xml:space="preserve">“Index – Confidential Tribunal Documents”</w:t>
      </w:r>
      <w:r>
        <w:rPr>
          <w:rFonts w:ascii="Calibri" w:cs="Calibri" w:eastAsia="Calibri" w:hAnsi="Calibri"/>
          <w:sz w:val="22"/>
          <w:szCs w:val="22"/>
        </w:rPr>
        <w:t xml:space="preserve">. The Respondent had submitted that it </w:t>
      </w:r>
      <w:r>
        <w:rPr>
          <w:rFonts w:ascii="Calibri" w:cs="Calibri" w:eastAsia="Calibri" w:hAnsi="Calibri"/>
          <w:sz w:val="22"/>
          <w:szCs w:val="22"/>
        </w:rPr>
        <w:t xml:space="preserve">“anticipates regularly reviewing the documents set out in the confidential index with a view to disclosing them if and/or when, the grounds for this application fall away”</w:t>
      </w:r>
      <w:r>
        <w:rPr>
          <w:rFonts w:ascii="Calibri" w:cs="Calibri" w:eastAsia="Calibri" w:hAnsi="Calibri"/>
          <w:sz w:val="22"/>
          <w:szCs w:val="22"/>
        </w:rPr>
        <w:t xml:space="preserve"> (submissions of 12 September 2023 at [23]). The only criminal proceedings identified in the material were discontinued on 23 February 2024. The Second Applicant asks that the Respondent now state, document by document, whether it maintains that each should continue to be withheld and on what ground, and that the Tribunal then decide whether order 2 should be varied or revoked.</w:t>
      </w:r>
    </w:p>
    <w:p>
      <w:pPr>
        <w:tabs>
          <w:tab w:val="left" w:pos="567"/>
        </w:tabs>
        <w:spacing w:after="120" w:line="276"/>
        <w:ind w:left="567" w:hanging="567"/>
        <w:jc w:val="both"/>
      </w:pPr>
      <w:r>
        <w:rPr>
          <w:rFonts w:ascii="Calibri" w:cs="Calibri" w:eastAsia="Calibri" w:hAnsi="Calibri"/>
          <w:sz w:val="22"/>
          <w:szCs w:val="22"/>
        </w:rPr>
        <w:t xml:space="preserve">15.	</w:t>
      </w:r>
      <w:r>
        <w:rPr>
          <w:rFonts w:ascii="Calibri" w:cs="Calibri" w:eastAsia="Calibri" w:hAnsi="Calibri"/>
          <w:sz w:val="22"/>
          <w:szCs w:val="22"/>
        </w:rPr>
        <w:t xml:space="preserve">Section 23 of the ART Act requires the decision-maker to give the Tribunal every document in its possession or control that is relevant to the review. The Second Applicant does not ask that any document be disclosed to him in breach of an existing order. He asks that the documents be before the Tribunal and described sufficiently for relevance or restriction to be decided by the Tribunal.</w:t>
      </w:r>
    </w:p>
    <w:p>
      <w:pPr>
        <w:spacing w:after="120" w:before="240"/>
      </w:pPr>
      <w:r>
        <w:rPr>
          <w:rFonts w:ascii="Calibri" w:cs="Calibri" w:eastAsia="Calibri" w:hAnsi="Calibri"/>
          <w:b/>
          <w:bCs/>
          <w:sz w:val="22"/>
          <w:szCs w:val="22"/>
        </w:rPr>
        <w:t xml:space="preserve">E.  Form of any order</w:t>
      </w:r>
    </w:p>
    <w:p>
      <w:pPr>
        <w:tabs>
          <w:tab w:val="left" w:pos="567"/>
        </w:tabs>
        <w:spacing w:after="120" w:line="276"/>
        <w:ind w:left="567" w:hanging="567"/>
        <w:jc w:val="both"/>
      </w:pPr>
      <w:r>
        <w:rPr>
          <w:rFonts w:ascii="Calibri" w:cs="Calibri" w:eastAsia="Calibri" w:hAnsi="Calibri"/>
          <w:sz w:val="22"/>
          <w:szCs w:val="22"/>
        </w:rPr>
        <w:t xml:space="preserve">16.	</w:t>
      </w:r>
      <w:r>
        <w:rPr>
          <w:rFonts w:ascii="Calibri" w:cs="Calibri" w:eastAsia="Calibri" w:hAnsi="Calibri"/>
          <w:sz w:val="22"/>
          <w:szCs w:val="22"/>
        </w:rPr>
        <w:t xml:space="preserve">In </w:t>
      </w:r>
      <w:r>
        <w:rPr>
          <w:rFonts w:ascii="Calibri" w:cs="Calibri" w:eastAsia="Calibri" w:hAnsi="Calibri"/>
          <w:i/>
          <w:iCs/>
          <w:sz w:val="22"/>
          <w:szCs w:val="22"/>
        </w:rPr>
        <w:t xml:space="preserve">Sunflower Care Services Pty Ltd v Commissioner of the NDIS Quality and Safeguards Commission (No 2)</w:t>
      </w:r>
      <w:r>
        <w:rPr>
          <w:rFonts w:ascii="Calibri" w:cs="Calibri" w:eastAsia="Calibri" w:hAnsi="Calibri"/>
          <w:sz w:val="22"/>
          <w:szCs w:val="22"/>
        </w:rPr>
        <w:t xml:space="preserve"> [2025] FCA 1442 the Federal Court held that section 73ZN(2) does not authorise an order prohibiting a person from indirectly engaging in, or being indirectly involved in, specified activities (at [128], [134] and [139]), although an order may prohibit a clearly specified activity that itself only indirectly involves the provision of supports or services (at [134]); and that the specified activities must be expressed in terms reasonably capable of being obeyed (at [131]). </w:t>
      </w:r>
      <w:r>
        <w:rPr>
          <w:rFonts w:ascii="Calibri" w:cs="Calibri" w:eastAsia="Calibri" w:hAnsi="Calibri"/>
          <w:sz w:val="22"/>
          <w:szCs w:val="22"/>
        </w:rPr>
        <w:t xml:space="preserve">The order under review prohibits </w:t>
      </w:r>
      <w:r>
        <w:rPr>
          <w:rFonts w:ascii="Calibri" w:cs="Calibri" w:eastAsia="Calibri" w:hAnsi="Calibri"/>
          <w:sz w:val="22"/>
          <w:szCs w:val="22"/>
        </w:rPr>
        <w:t xml:space="preserve">“any involvement with or in the NDIS sector, in any capacity”</w:t>
      </w:r>
      <w:r>
        <w:rPr>
          <w:rFonts w:ascii="Calibri" w:cs="Calibri" w:eastAsia="Calibri" w:hAnsi="Calibri"/>
          <w:sz w:val="22"/>
          <w:szCs w:val="22"/>
        </w:rPr>
        <w:t xml:space="preserve">, including providing supports and services </w:t>
      </w:r>
      <w:r>
        <w:rPr>
          <w:rFonts w:ascii="Calibri" w:cs="Calibri" w:eastAsia="Calibri" w:hAnsi="Calibri"/>
          <w:sz w:val="22"/>
          <w:szCs w:val="22"/>
        </w:rPr>
        <w:t xml:space="preserve">“directly or indirectly”</w:t>
      </w:r>
      <w:r>
        <w:rPr>
          <w:rFonts w:ascii="Calibri" w:cs="Calibri" w:eastAsia="Calibri" w:hAnsi="Calibri"/>
          <w:sz w:val="22"/>
          <w:szCs w:val="22"/>
        </w:rPr>
        <w:t xml:space="preserve">.</w:t>
      </w:r>
      <w:r>
        <w:rPr>
          <w:rFonts w:ascii="Calibri" w:cs="Calibri" w:eastAsia="Calibri" w:hAnsi="Calibri"/>
          <w:sz w:val="22"/>
          <w:szCs w:val="22"/>
        </w:rPr>
        <w:t xml:space="preserve"> The Second Applicant asks that the Respondent state in advance the order it will seek, and whether it relies on the provisions inserted into section 73ZN of the NDIS Act in 2026. He reserves his position on those questions.</w:t>
      </w:r>
    </w:p>
    <w:p>
      <w:pPr>
        <w:spacing w:after="120" w:before="240"/>
      </w:pPr>
      <w:r>
        <w:rPr>
          <w:rFonts w:ascii="Calibri" w:cs="Calibri" w:eastAsia="Calibri" w:hAnsi="Calibri"/>
          <w:b/>
          <w:bCs/>
          <w:sz w:val="22"/>
          <w:szCs w:val="22"/>
        </w:rPr>
        <w:t xml:space="preserve">F.  Directions sought</w:t>
      </w:r>
    </w:p>
    <w:p>
      <w:pPr>
        <w:tabs>
          <w:tab w:val="left" w:pos="567"/>
        </w:tabs>
        <w:spacing w:after="120" w:line="276"/>
        <w:ind w:left="567" w:hanging="567"/>
        <w:jc w:val="both"/>
      </w:pPr>
      <w:r>
        <w:rPr>
          <w:rFonts w:ascii="Calibri" w:cs="Calibri" w:eastAsia="Calibri" w:hAnsi="Calibri"/>
          <w:sz w:val="22"/>
          <w:szCs w:val="22"/>
        </w:rPr>
        <w:t xml:space="preserve">D1.	</w:t>
      </w:r>
      <w:r>
        <w:rPr>
          <w:rFonts w:ascii="Calibri" w:cs="Calibri" w:eastAsia="Calibri" w:hAnsi="Calibri"/>
          <w:b/>
          <w:bCs/>
          <w:sz w:val="22"/>
          <w:szCs w:val="22"/>
        </w:rPr>
        <w:t xml:space="preserve">Directions hearing. </w:t>
      </w:r>
      <w:r>
        <w:rPr>
          <w:rFonts w:ascii="Calibri" w:cs="Calibri" w:eastAsia="Calibri" w:hAnsi="Calibri"/>
          <w:sz w:val="22"/>
          <w:szCs w:val="22"/>
        </w:rPr>
        <w:t xml:space="preserve">The applications be listed for the telephone directions hearing foreshadowed at [41] of the decision dated 31 July 2026 at the earliest available date.</w:t>
      </w:r>
    </w:p>
    <w:p>
      <w:pPr>
        <w:tabs>
          <w:tab w:val="left" w:pos="567"/>
        </w:tabs>
        <w:spacing w:after="120" w:line="276"/>
        <w:ind w:left="567" w:hanging="567"/>
        <w:jc w:val="both"/>
      </w:pPr>
      <w:r>
        <w:rPr>
          <w:rFonts w:ascii="Calibri" w:cs="Calibri" w:eastAsia="Calibri" w:hAnsi="Calibri"/>
          <w:sz w:val="22"/>
          <w:szCs w:val="22"/>
        </w:rPr>
        <w:t xml:space="preserve">D2.	</w:t>
      </w:r>
      <w:r>
        <w:rPr>
          <w:rFonts w:ascii="Calibri" w:cs="Calibri" w:eastAsia="Calibri" w:hAnsi="Calibri"/>
          <w:b/>
          <w:bCs/>
          <w:sz w:val="22"/>
          <w:szCs w:val="22"/>
        </w:rPr>
        <w:t xml:space="preserve">Section 70 application. </w:t>
      </w:r>
      <w:r>
        <w:rPr>
          <w:rFonts w:ascii="Calibri" w:cs="Calibri" w:eastAsia="Calibri" w:hAnsi="Calibri"/>
          <w:sz w:val="22"/>
          <w:szCs w:val="22"/>
        </w:rPr>
        <w:t xml:space="preserve">If not already determined, the Respondent's application of 7 May 2026 be determined at the directions hearing after brief oral submissions, the Tribunal being at liberty to inspect the documents.</w:t>
      </w:r>
    </w:p>
    <w:p>
      <w:pPr>
        <w:tabs>
          <w:tab w:val="left" w:pos="567"/>
        </w:tabs>
        <w:spacing w:after="120" w:line="276"/>
        <w:ind w:left="567" w:hanging="567"/>
        <w:jc w:val="both"/>
      </w:pPr>
      <w:r>
        <w:rPr>
          <w:rFonts w:ascii="Calibri" w:cs="Calibri" w:eastAsia="Calibri" w:hAnsi="Calibri"/>
          <w:sz w:val="22"/>
          <w:szCs w:val="22"/>
        </w:rPr>
        <w:t xml:space="preserve">D3.	</w:t>
      </w:r>
      <w:r>
        <w:rPr>
          <w:rFonts w:ascii="Calibri" w:cs="Calibri" w:eastAsia="Calibri" w:hAnsi="Calibri"/>
          <w:b/>
          <w:bCs/>
          <w:sz w:val="22"/>
          <w:szCs w:val="22"/>
        </w:rPr>
        <w:t xml:space="preserve">Documents. </w:t>
      </w:r>
      <w:r>
        <w:rPr>
          <w:rFonts w:ascii="Calibri" w:cs="Calibri" w:eastAsia="Calibri" w:hAnsi="Calibri"/>
          <w:sz w:val="22"/>
          <w:szCs w:val="22"/>
        </w:rPr>
        <w:t xml:space="preserve">Within 14 days, the Respondent:</w:t>
      </w:r>
    </w:p>
    <w:p>
      <w:pPr>
        <w:tabs>
          <w:tab w:val="left" w:pos="1134"/>
        </w:tabs>
        <w:spacing w:after="80" w:line="276"/>
        <w:ind w:left="1134" w:hanging="567"/>
        <w:jc w:val="both"/>
      </w:pPr>
      <w:r>
        <w:rPr>
          <w:rFonts w:ascii="Calibri" w:cs="Calibri" w:eastAsia="Calibri" w:hAnsi="Calibri"/>
          <w:sz w:val="22"/>
          <w:szCs w:val="22"/>
        </w:rPr>
        <w:t xml:space="preserve">(a)	</w:t>
      </w:r>
      <w:r>
        <w:rPr>
          <w:rFonts w:ascii="Calibri" w:cs="Calibri" w:eastAsia="Calibri" w:hAnsi="Calibri"/>
          <w:sz w:val="22"/>
          <w:szCs w:val="22"/>
        </w:rPr>
        <w:t xml:space="preserve">give the Tribunal Attachments B, P and Q to briefing note EC22-002103 and Attachment P to briefing note EC22-002521, to the extent not already given;</w:t>
      </w:r>
    </w:p>
    <w:p>
      <w:pPr>
        <w:tabs>
          <w:tab w:val="left" w:pos="1134"/>
        </w:tabs>
        <w:spacing w:after="80" w:line="276"/>
        <w:ind w:left="1134" w:hanging="567"/>
        <w:jc w:val="both"/>
      </w:pPr>
      <w:r>
        <w:rPr>
          <w:rFonts w:ascii="Calibri" w:cs="Calibri" w:eastAsia="Calibri" w:hAnsi="Calibri"/>
          <w:sz w:val="22"/>
          <w:szCs w:val="22"/>
        </w:rPr>
        <w:t xml:space="preserve">(b)	</w:t>
      </w:r>
      <w:r>
        <w:rPr>
          <w:rFonts w:ascii="Calibri" w:cs="Calibri" w:eastAsia="Calibri" w:hAnsi="Calibri"/>
          <w:sz w:val="22"/>
          <w:szCs w:val="22"/>
        </w:rPr>
        <w:t xml:space="preserve">state, for each document in the bundle marked </w:t>
      </w:r>
      <w:r>
        <w:rPr>
          <w:rFonts w:ascii="Calibri" w:cs="Calibri" w:eastAsia="Calibri" w:hAnsi="Calibri"/>
          <w:sz w:val="22"/>
          <w:szCs w:val="22"/>
        </w:rPr>
        <w:t xml:space="preserve">“Index – Confidential Tribunal Documents”</w:t>
      </w:r>
      <w:r>
        <w:rPr>
          <w:rFonts w:ascii="Calibri" w:cs="Calibri" w:eastAsia="Calibri" w:hAnsi="Calibri"/>
          <w:sz w:val="22"/>
          <w:szCs w:val="22"/>
        </w:rPr>
        <w:t xml:space="preserve">, whether it maintains that the document should continue to be withheld from the applicants and, if so, on what ground, identifying any claim of legal professional privilege separately; and</w:t>
      </w:r>
    </w:p>
    <w:p>
      <w:pPr>
        <w:tabs>
          <w:tab w:val="left" w:pos="1134"/>
        </w:tabs>
        <w:spacing w:after="80" w:line="276"/>
        <w:ind w:left="1134" w:hanging="567"/>
        <w:jc w:val="both"/>
      </w:pPr>
      <w:r>
        <w:rPr>
          <w:rFonts w:ascii="Calibri" w:cs="Calibri" w:eastAsia="Calibri" w:hAnsi="Calibri"/>
          <w:sz w:val="22"/>
          <w:szCs w:val="22"/>
        </w:rPr>
        <w:t xml:space="preserve">(c)	</w:t>
      </w:r>
      <w:r>
        <w:rPr>
          <w:rFonts w:ascii="Calibri" w:cs="Calibri" w:eastAsia="Calibri" w:hAnsi="Calibri"/>
          <w:sz w:val="22"/>
          <w:szCs w:val="22"/>
        </w:rPr>
        <w:t xml:space="preserve">file and serve a list describing each other document it withholds from the Second Applicant (date, author, recipient, general nature) and the basis for withholding it.</w:t>
      </w:r>
    </w:p>
    <w:p>
      <w:pPr>
        <w:spacing w:after="120"/>
        <w:ind w:left="567"/>
        <w:jc w:val="both"/>
      </w:pPr>
      <w:r>
        <w:rPr>
          <w:rFonts w:ascii="Calibri" w:cs="Calibri" w:eastAsia="Calibri" w:hAnsi="Calibri"/>
          <w:sz w:val="22"/>
          <w:szCs w:val="22"/>
        </w:rPr>
        <w:t xml:space="preserve">The Second Applicant may respond within 7 days after service. The Tribunal then determine, at a case event, whether order 2 of the orders of 12 September 2023 should be varied or revoked in respect of any document, and any other dispute about the documents.</w:t>
      </w:r>
    </w:p>
    <w:p>
      <w:pPr>
        <w:tabs>
          <w:tab w:val="left" w:pos="567"/>
        </w:tabs>
        <w:spacing w:after="120" w:line="276"/>
        <w:ind w:left="567" w:hanging="567"/>
        <w:jc w:val="both"/>
      </w:pPr>
      <w:r>
        <w:rPr>
          <w:rFonts w:ascii="Calibri" w:cs="Calibri" w:eastAsia="Calibri" w:hAnsi="Calibri"/>
          <w:sz w:val="22"/>
          <w:szCs w:val="22"/>
        </w:rPr>
        <w:t xml:space="preserve">D4.	</w:t>
      </w:r>
      <w:r>
        <w:rPr>
          <w:rFonts w:ascii="Calibri" w:cs="Calibri" w:eastAsia="Calibri" w:hAnsi="Calibri"/>
          <w:b/>
          <w:bCs/>
          <w:sz w:val="22"/>
          <w:szCs w:val="22"/>
        </w:rPr>
        <w:t xml:space="preserve">Supplementary tender bundle. </w:t>
      </w:r>
      <w:r>
        <w:rPr>
          <w:rFonts w:ascii="Calibri" w:cs="Calibri" w:eastAsia="Calibri" w:hAnsi="Calibri"/>
          <w:sz w:val="22"/>
          <w:szCs w:val="22"/>
        </w:rPr>
        <w:t xml:space="preserve">Within 14 days of the determination of the section 70 application, the Respondent lodge and serve its supplementary tender bundle consisting of all documents required to be produced under section 23 of the ART Act, subject to any order of the Tribunal.</w:t>
      </w:r>
    </w:p>
    <w:p>
      <w:pPr>
        <w:tabs>
          <w:tab w:val="left" w:pos="567"/>
        </w:tabs>
        <w:spacing w:after="120" w:line="276"/>
        <w:ind w:left="567" w:hanging="567"/>
        <w:jc w:val="both"/>
      </w:pPr>
      <w:r>
        <w:rPr>
          <w:rFonts w:ascii="Calibri" w:cs="Calibri" w:eastAsia="Calibri" w:hAnsi="Calibri"/>
          <w:sz w:val="22"/>
          <w:szCs w:val="22"/>
        </w:rPr>
        <w:t xml:space="preserve">D5.	</w:t>
      </w:r>
      <w:r>
        <w:rPr>
          <w:rFonts w:ascii="Calibri" w:cs="Calibri" w:eastAsia="Calibri" w:hAnsi="Calibri"/>
          <w:b/>
          <w:bCs/>
          <w:sz w:val="22"/>
          <w:szCs w:val="22"/>
        </w:rPr>
        <w:t xml:space="preserve">Respondent's statement of case. </w:t>
      </w:r>
      <w:r>
        <w:rPr>
          <w:rFonts w:ascii="Calibri" w:cs="Calibri" w:eastAsia="Calibri" w:hAnsi="Calibri"/>
          <w:sz w:val="22"/>
          <w:szCs w:val="22"/>
        </w:rPr>
        <w:t xml:space="preserve">Pursuant to section 79 of the ART Act, at the same time as it serves the supplementary tender bundle, the Respondent file and serve a short statement identifying, in respect of the Second Applicant:</w:t>
      </w:r>
    </w:p>
    <w:p>
      <w:pPr>
        <w:tabs>
          <w:tab w:val="left" w:pos="1134"/>
        </w:tabs>
        <w:spacing w:after="80" w:line="276"/>
        <w:ind w:left="1134" w:hanging="567"/>
        <w:jc w:val="both"/>
      </w:pPr>
      <w:r>
        <w:rPr>
          <w:rFonts w:ascii="Calibri" w:cs="Calibri" w:eastAsia="Calibri" w:hAnsi="Calibri"/>
          <w:sz w:val="22"/>
          <w:szCs w:val="22"/>
        </w:rPr>
        <w:t xml:space="preserve">(a)	</w:t>
      </w:r>
      <w:r>
        <w:rPr>
          <w:rFonts w:ascii="Calibri" w:cs="Calibri" w:eastAsia="Calibri" w:hAnsi="Calibri"/>
          <w:sz w:val="22"/>
          <w:szCs w:val="22"/>
        </w:rPr>
        <w:t xml:space="preserve">the decision it will ask the Tribunal to make and, if it seeks a banning order, its complete wording and duration, and whether it contends that the order under review is within section 73ZN(2) having regard to </w:t>
      </w:r>
      <w:r>
        <w:rPr>
          <w:rFonts w:ascii="Calibri" w:cs="Calibri" w:eastAsia="Calibri" w:hAnsi="Calibri"/>
          <w:i/>
          <w:iCs/>
          <w:sz w:val="22"/>
          <w:szCs w:val="22"/>
        </w:rPr>
        <w:t xml:space="preserve">Sunflower</w:t>
      </w:r>
      <w:r>
        <w:rPr>
          <w:rFonts w:ascii="Calibri" w:cs="Calibri" w:eastAsia="Calibri" w:hAnsi="Calibri"/>
          <w:sz w:val="22"/>
          <w:szCs w:val="22"/>
        </w:rPr>
        <w:t xml:space="preserve">;</w:t>
      </w:r>
    </w:p>
    <w:p>
      <w:pPr>
        <w:tabs>
          <w:tab w:val="left" w:pos="1134"/>
        </w:tabs>
        <w:spacing w:after="80" w:line="276"/>
        <w:ind w:left="1134" w:hanging="567"/>
        <w:jc w:val="both"/>
      </w:pPr>
      <w:r>
        <w:rPr>
          <w:rFonts w:ascii="Calibri" w:cs="Calibri" w:eastAsia="Calibri" w:hAnsi="Calibri"/>
          <w:sz w:val="22"/>
          <w:szCs w:val="22"/>
        </w:rPr>
        <w:t xml:space="preserve">(b)	</w:t>
      </w:r>
      <w:r>
        <w:rPr>
          <w:rFonts w:ascii="Calibri" w:cs="Calibri" w:eastAsia="Calibri" w:hAnsi="Calibri"/>
          <w:sz w:val="22"/>
          <w:szCs w:val="22"/>
        </w:rPr>
        <w:t xml:space="preserve">for the finding at [38](a): the act or omission attributed to the Second Applicant personally and the capacity in which he is said to have been involved, stating whether it alleges direct involvement or a failure to take steps for which he was responsible; and, by schedule to the extent relied on, each claim (participant, service dates, amount and claiming entity), noting any claim later cancelled, offset or repaid;</w:t>
      </w:r>
    </w:p>
    <w:p>
      <w:pPr>
        <w:tabs>
          <w:tab w:val="left" w:pos="1134"/>
        </w:tabs>
        <w:spacing w:after="80" w:line="276"/>
        <w:ind w:left="1134" w:hanging="567"/>
        <w:jc w:val="both"/>
      </w:pPr>
      <w:r>
        <w:rPr>
          <w:rFonts w:ascii="Calibri" w:cs="Calibri" w:eastAsia="Calibri" w:hAnsi="Calibri"/>
          <w:sz w:val="22"/>
          <w:szCs w:val="22"/>
        </w:rPr>
        <w:t xml:space="preserve">(c)	</w:t>
      </w:r>
      <w:r>
        <w:rPr>
          <w:rFonts w:ascii="Calibri" w:cs="Calibri" w:eastAsia="Calibri" w:hAnsi="Calibri"/>
          <w:sz w:val="22"/>
          <w:szCs w:val="22"/>
        </w:rPr>
        <w:t xml:space="preserve">for the finding at [38](b): each incident alleged against the Second Applicant personally (date, participant, conduct and source);</w:t>
      </w:r>
    </w:p>
    <w:p>
      <w:pPr>
        <w:tabs>
          <w:tab w:val="left" w:pos="1134"/>
        </w:tabs>
        <w:spacing w:after="80" w:line="276"/>
        <w:ind w:left="1134" w:hanging="567"/>
        <w:jc w:val="both"/>
      </w:pPr>
      <w:r>
        <w:rPr>
          <w:rFonts w:ascii="Calibri" w:cs="Calibri" w:eastAsia="Calibri" w:hAnsi="Calibri"/>
          <w:sz w:val="22"/>
          <w:szCs w:val="22"/>
        </w:rPr>
        <w:t xml:space="preserve">(d)	</w:t>
      </w:r>
      <w:r>
        <w:rPr>
          <w:rFonts w:ascii="Calibri" w:cs="Calibri" w:eastAsia="Calibri" w:hAnsi="Calibri"/>
          <w:sz w:val="22"/>
          <w:szCs w:val="22"/>
        </w:rPr>
        <w:t xml:space="preserve">for the finding at [38](c): the conduct alleged, its date, and the term of the order said to have been contravened;</w:t>
      </w:r>
    </w:p>
    <w:p>
      <w:pPr>
        <w:tabs>
          <w:tab w:val="left" w:pos="1134"/>
        </w:tabs>
        <w:spacing w:after="80" w:line="276"/>
        <w:ind w:left="1134" w:hanging="567"/>
        <w:jc w:val="both"/>
      </w:pPr>
      <w:r>
        <w:rPr>
          <w:rFonts w:ascii="Calibri" w:cs="Calibri" w:eastAsia="Calibri" w:hAnsi="Calibri"/>
          <w:sz w:val="22"/>
          <w:szCs w:val="22"/>
        </w:rPr>
        <w:t xml:space="preserve">(e)	</w:t>
      </w:r>
      <w:r>
        <w:rPr>
          <w:rFonts w:ascii="Calibri" w:cs="Calibri" w:eastAsia="Calibri" w:hAnsi="Calibri"/>
          <w:sz w:val="22"/>
          <w:szCs w:val="22"/>
        </w:rPr>
        <w:t xml:space="preserve">for each matter in (b) to (d), the documents or statements (by tender reference) relied on, and any analysis of the claims on which it intends to rely;</w:t>
      </w:r>
    </w:p>
    <w:p>
      <w:pPr>
        <w:tabs>
          <w:tab w:val="left" w:pos="1134"/>
        </w:tabs>
        <w:spacing w:after="80" w:line="276"/>
        <w:ind w:left="1134" w:hanging="567"/>
        <w:jc w:val="both"/>
      </w:pPr>
      <w:r>
        <w:rPr>
          <w:rFonts w:ascii="Calibri" w:cs="Calibri" w:eastAsia="Calibri" w:hAnsi="Calibri"/>
          <w:sz w:val="22"/>
          <w:szCs w:val="22"/>
        </w:rPr>
        <w:t xml:space="preserve">(f)	</w:t>
      </w:r>
      <w:r>
        <w:rPr>
          <w:rFonts w:ascii="Calibri" w:cs="Calibri" w:eastAsia="Calibri" w:hAnsi="Calibri"/>
          <w:sz w:val="22"/>
          <w:szCs w:val="22"/>
        </w:rPr>
        <w:t xml:space="preserve">whether it relies on the investigation referred to at [46] of the internal review decision, or on any other current investigation or process concerning the Second Applicant, and, if so, its status;</w:t>
      </w:r>
    </w:p>
    <w:p>
      <w:pPr>
        <w:tabs>
          <w:tab w:val="left" w:pos="1134"/>
        </w:tabs>
        <w:spacing w:after="80" w:line="276"/>
        <w:ind w:left="1134" w:hanging="567"/>
        <w:jc w:val="both"/>
      </w:pPr>
      <w:r>
        <w:rPr>
          <w:rFonts w:ascii="Calibri" w:cs="Calibri" w:eastAsia="Calibri" w:hAnsi="Calibri"/>
          <w:sz w:val="22"/>
          <w:szCs w:val="22"/>
        </w:rPr>
        <w:t xml:space="preserve">(g)	</w:t>
      </w:r>
      <w:r>
        <w:rPr>
          <w:rFonts w:ascii="Calibri" w:cs="Calibri" w:eastAsia="Calibri" w:hAnsi="Calibri"/>
          <w:sz w:val="22"/>
          <w:szCs w:val="22"/>
        </w:rPr>
        <w:t xml:space="preserve">whether and how it relies on section 73ZN(2B) or (2C) of the NDIS Act; and</w:t>
      </w:r>
    </w:p>
    <w:p>
      <w:pPr>
        <w:tabs>
          <w:tab w:val="left" w:pos="1134"/>
        </w:tabs>
        <w:spacing w:after="80" w:line="276"/>
        <w:ind w:left="1134" w:hanging="567"/>
        <w:jc w:val="both"/>
      </w:pPr>
      <w:r>
        <w:rPr>
          <w:rFonts w:ascii="Calibri" w:cs="Calibri" w:eastAsia="Calibri" w:hAnsi="Calibri"/>
          <w:sz w:val="22"/>
          <w:szCs w:val="22"/>
        </w:rPr>
        <w:t xml:space="preserve">(h)	</w:t>
      </w:r>
      <w:r>
        <w:rPr>
          <w:rFonts w:ascii="Calibri" w:cs="Calibri" w:eastAsia="Calibri" w:hAnsi="Calibri"/>
          <w:sz w:val="22"/>
          <w:szCs w:val="22"/>
        </w:rPr>
        <w:t xml:space="preserve">each witness it intends to call, and each statement on which it intends to rely without calling its maker.</w:t>
      </w:r>
    </w:p>
    <w:p>
      <w:pPr>
        <w:tabs>
          <w:tab w:val="left" w:pos="567"/>
        </w:tabs>
        <w:spacing w:after="120" w:line="276"/>
        <w:ind w:left="567" w:hanging="567"/>
        <w:jc w:val="both"/>
      </w:pPr>
      <w:r>
        <w:rPr>
          <w:rFonts w:ascii="Calibri" w:cs="Calibri" w:eastAsia="Calibri" w:hAnsi="Calibri"/>
          <w:sz w:val="22"/>
          <w:szCs w:val="22"/>
        </w:rPr>
        <w:t xml:space="preserve">D6.	</w:t>
      </w:r>
      <w:r>
        <w:rPr>
          <w:rFonts w:ascii="Calibri" w:cs="Calibri" w:eastAsia="Calibri" w:hAnsi="Calibri"/>
          <w:b/>
          <w:bCs/>
          <w:sz w:val="22"/>
          <w:szCs w:val="22"/>
        </w:rPr>
        <w:t xml:space="preserve">Notice of further matters. </w:t>
      </w:r>
      <w:r>
        <w:rPr>
          <w:rFonts w:ascii="Calibri" w:cs="Calibri" w:eastAsia="Calibri" w:hAnsi="Calibri"/>
          <w:sz w:val="22"/>
          <w:szCs w:val="22"/>
        </w:rPr>
        <w:t xml:space="preserve">If the Respondent seeks to rely at the hearing on any allegation not identified under direction D5, it give written notice identifying the allegation and the evidence relied on, and the Second Applicant have a reasonable opportunity to respond.</w:t>
      </w:r>
    </w:p>
    <w:p>
      <w:pPr>
        <w:tabs>
          <w:tab w:val="left" w:pos="567"/>
        </w:tabs>
        <w:spacing w:after="120" w:line="276"/>
        <w:ind w:left="567" w:hanging="567"/>
        <w:jc w:val="both"/>
      </w:pPr>
      <w:r>
        <w:rPr>
          <w:rFonts w:ascii="Calibri" w:cs="Calibri" w:eastAsia="Calibri" w:hAnsi="Calibri"/>
          <w:sz w:val="22"/>
          <w:szCs w:val="22"/>
        </w:rPr>
        <w:t xml:space="preserve">D7.	</w:t>
      </w:r>
      <w:r>
        <w:rPr>
          <w:rFonts w:ascii="Calibri" w:cs="Calibri" w:eastAsia="Calibri" w:hAnsi="Calibri"/>
          <w:b/>
          <w:bCs/>
          <w:sz w:val="22"/>
          <w:szCs w:val="22"/>
        </w:rPr>
        <w:t xml:space="preserve">SFIC and evidence. </w:t>
      </w:r>
      <w:r>
        <w:rPr>
          <w:rFonts w:ascii="Calibri" w:cs="Calibri" w:eastAsia="Calibri" w:hAnsi="Calibri"/>
          <w:sz w:val="22"/>
          <w:szCs w:val="22"/>
        </w:rPr>
        <w:t xml:space="preserve">The Second Applicant file and serve an updated SFIC and any evidence on which he elects to rely within 28 days after service of the supplementary tender bundle and the statement under direction D5.</w:t>
      </w:r>
    </w:p>
    <w:p>
      <w:pPr>
        <w:tabs>
          <w:tab w:val="left" w:pos="567"/>
        </w:tabs>
        <w:spacing w:after="120" w:line="276"/>
        <w:ind w:left="567" w:hanging="567"/>
        <w:jc w:val="both"/>
      </w:pPr>
      <w:r>
        <w:rPr>
          <w:rFonts w:ascii="Calibri" w:cs="Calibri" w:eastAsia="Calibri" w:hAnsi="Calibri"/>
          <w:sz w:val="22"/>
          <w:szCs w:val="22"/>
        </w:rPr>
        <w:t xml:space="preserve">D8.	</w:t>
      </w:r>
      <w:r>
        <w:rPr>
          <w:rFonts w:ascii="Calibri" w:cs="Calibri" w:eastAsia="Calibri" w:hAnsi="Calibri"/>
          <w:b/>
          <w:bCs/>
          <w:sz w:val="22"/>
          <w:szCs w:val="22"/>
        </w:rPr>
        <w:t xml:space="preserve">Respondent's SFIC and evidence. </w:t>
      </w:r>
      <w:r>
        <w:rPr>
          <w:rFonts w:ascii="Calibri" w:cs="Calibri" w:eastAsia="Calibri" w:hAnsi="Calibri"/>
          <w:sz w:val="22"/>
          <w:szCs w:val="22"/>
        </w:rPr>
        <w:t xml:space="preserve">The Respondent file and serve its SFIC and any further evidence in respect of the Second Applicant within 28 days after the date fixed under direction D7.</w:t>
      </w:r>
    </w:p>
    <w:p>
      <w:pPr>
        <w:tabs>
          <w:tab w:val="left" w:pos="567"/>
        </w:tabs>
        <w:spacing w:after="120" w:line="276"/>
        <w:ind w:left="567" w:hanging="567"/>
        <w:jc w:val="both"/>
      </w:pPr>
      <w:r>
        <w:rPr>
          <w:rFonts w:ascii="Calibri" w:cs="Calibri" w:eastAsia="Calibri" w:hAnsi="Calibri"/>
          <w:sz w:val="22"/>
          <w:szCs w:val="22"/>
        </w:rPr>
        <w:t xml:space="preserve">D9.	</w:t>
      </w:r>
      <w:r>
        <w:rPr>
          <w:rFonts w:ascii="Calibri" w:cs="Calibri" w:eastAsia="Calibri" w:hAnsi="Calibri"/>
          <w:b/>
          <w:bCs/>
          <w:sz w:val="22"/>
          <w:szCs w:val="22"/>
        </w:rPr>
        <w:t xml:space="preserve">Reply. </w:t>
      </w:r>
      <w:r>
        <w:rPr>
          <w:rFonts w:ascii="Calibri" w:cs="Calibri" w:eastAsia="Calibri" w:hAnsi="Calibri"/>
          <w:sz w:val="22"/>
          <w:szCs w:val="22"/>
        </w:rPr>
        <w:t xml:space="preserve">The Second Applicant file and serve any reply within 14 days after service of the Respondent's SFIC and evidence under direction D8.</w:t>
      </w:r>
    </w:p>
    <w:p>
      <w:pPr>
        <w:tabs>
          <w:tab w:val="left" w:pos="567"/>
        </w:tabs>
        <w:spacing w:after="120" w:line="276"/>
        <w:ind w:left="567" w:hanging="567"/>
        <w:jc w:val="both"/>
      </w:pPr>
      <w:r>
        <w:rPr>
          <w:rFonts w:ascii="Calibri" w:cs="Calibri" w:eastAsia="Calibri" w:hAnsi="Calibri"/>
          <w:sz w:val="22"/>
          <w:szCs w:val="22"/>
        </w:rPr>
        <w:t xml:space="preserve">D10.	</w:t>
      </w:r>
      <w:r>
        <w:rPr>
          <w:rFonts w:ascii="Calibri" w:cs="Calibri" w:eastAsia="Calibri" w:hAnsi="Calibri"/>
          <w:b/>
          <w:bCs/>
          <w:sz w:val="22"/>
          <w:szCs w:val="22"/>
        </w:rPr>
        <w:t xml:space="preserve">Witnesses. </w:t>
      </w:r>
      <w:r>
        <w:rPr>
          <w:rFonts w:ascii="Calibri" w:cs="Calibri" w:eastAsia="Calibri" w:hAnsi="Calibri"/>
          <w:sz w:val="22"/>
          <w:szCs w:val="22"/>
        </w:rPr>
        <w:t xml:space="preserve">By the date fixed under direction D9, the Second Applicant may serve a notice identifying each maker of a statement relied on by the Respondent whose attendance he seeks for questioning, and the reasons. Any dispute, and any protective arrangements for participants, be determined at a case event.</w:t>
      </w:r>
    </w:p>
    <w:p>
      <w:pPr>
        <w:tabs>
          <w:tab w:val="left" w:pos="567"/>
        </w:tabs>
        <w:spacing w:after="120" w:line="276"/>
        <w:ind w:left="567" w:hanging="567"/>
        <w:jc w:val="both"/>
      </w:pPr>
      <w:r>
        <w:rPr>
          <w:rFonts w:ascii="Calibri" w:cs="Calibri" w:eastAsia="Calibri" w:hAnsi="Calibri"/>
          <w:sz w:val="22"/>
          <w:szCs w:val="22"/>
        </w:rPr>
        <w:t xml:space="preserve">D11.	</w:t>
      </w:r>
      <w:r>
        <w:rPr>
          <w:rFonts w:ascii="Calibri" w:cs="Calibri" w:eastAsia="Calibri" w:hAnsi="Calibri"/>
          <w:b/>
          <w:bCs/>
          <w:sz w:val="22"/>
          <w:szCs w:val="22"/>
        </w:rPr>
        <w:t xml:space="preserve">Listing. </w:t>
      </w:r>
      <w:r>
        <w:rPr>
          <w:rFonts w:ascii="Calibri" w:cs="Calibri" w:eastAsia="Calibri" w:hAnsi="Calibri"/>
          <w:sz w:val="22"/>
          <w:szCs w:val="22"/>
        </w:rPr>
        <w:t xml:space="preserve">At the directions hearing, the matters be provisionally listed for final hearing on the first available date after the date fixed under direction D9, the hearing estimate to be confirmed at a short case event after direction D10, taking account of witnesses and interpreter arrangements.</w:t>
      </w:r>
    </w:p>
    <w:p>
      <w:pPr>
        <w:tabs>
          <w:tab w:val="left" w:pos="567"/>
        </w:tabs>
        <w:spacing w:after="120" w:line="276"/>
        <w:ind w:left="567" w:hanging="567"/>
        <w:jc w:val="both"/>
      </w:pPr>
      <w:r>
        <w:rPr>
          <w:rFonts w:ascii="Calibri" w:cs="Calibri" w:eastAsia="Calibri" w:hAnsi="Calibri"/>
          <w:sz w:val="22"/>
          <w:szCs w:val="22"/>
        </w:rPr>
        <w:t xml:space="preserve">D12.	</w:t>
      </w:r>
      <w:r>
        <w:rPr>
          <w:rFonts w:ascii="Calibri" w:cs="Calibri" w:eastAsia="Calibri" w:hAnsi="Calibri"/>
          <w:b/>
          <w:bCs/>
          <w:sz w:val="22"/>
          <w:szCs w:val="22"/>
        </w:rPr>
        <w:t xml:space="preserve">Alternative. </w:t>
      </w:r>
      <w:r>
        <w:rPr>
          <w:rFonts w:ascii="Calibri" w:cs="Calibri" w:eastAsia="Calibri" w:hAnsi="Calibri"/>
          <w:sz w:val="22"/>
          <w:szCs w:val="22"/>
        </w:rPr>
        <w:t xml:space="preserve">If the Tribunal does not make direction D5, the Second Applicant's SFIC and evidence be due 28 days after service of the supplementary tender bundle, and the Respondent's SFIC under direction D8 identify the matters listed in direction D5.</w:t>
      </w:r>
    </w:p>
    <w:p>
      <w:pPr>
        <w:tabs>
          <w:tab w:val="left" w:pos="567"/>
        </w:tabs>
        <w:spacing w:after="120" w:line="276"/>
        <w:ind w:left="567" w:hanging="567"/>
        <w:jc w:val="both"/>
      </w:pPr>
      <w:r>
        <w:rPr>
          <w:rFonts w:ascii="Calibri" w:cs="Calibri" w:eastAsia="Calibri" w:hAnsi="Calibri"/>
          <w:sz w:val="22"/>
          <w:szCs w:val="22"/>
        </w:rPr>
        <w:t xml:space="preserve">D13.	</w:t>
      </w:r>
      <w:r>
        <w:rPr>
          <w:rFonts w:ascii="Calibri" w:cs="Calibri" w:eastAsia="Calibri" w:hAnsi="Calibri"/>
          <w:b/>
          <w:bCs/>
          <w:sz w:val="22"/>
          <w:szCs w:val="22"/>
        </w:rPr>
        <w:t xml:space="preserve">Previous directions. </w:t>
      </w:r>
      <w:r>
        <w:rPr>
          <w:rFonts w:ascii="Calibri" w:cs="Calibri" w:eastAsia="Calibri" w:hAnsi="Calibri"/>
          <w:sz w:val="22"/>
          <w:szCs w:val="22"/>
        </w:rPr>
        <w:t xml:space="preserve">Any timetabling direction made before 31 July 2026 that remains in force be vacated.</w:t>
      </w:r>
    </w:p>
    <w:p>
      <w:pPr>
        <w:tabs>
          <w:tab w:val="left" w:pos="567"/>
        </w:tabs>
        <w:spacing w:after="120" w:line="276"/>
        <w:ind w:left="567" w:hanging="567"/>
        <w:jc w:val="both"/>
      </w:pPr>
      <w:r>
        <w:rPr>
          <w:rFonts w:ascii="Calibri" w:cs="Calibri" w:eastAsia="Calibri" w:hAnsi="Calibri"/>
          <w:sz w:val="22"/>
          <w:szCs w:val="22"/>
        </w:rPr>
        <w:t xml:space="preserve">D14.	</w:t>
      </w:r>
      <w:r>
        <w:rPr>
          <w:rFonts w:ascii="Calibri" w:cs="Calibri" w:eastAsia="Calibri" w:hAnsi="Calibri"/>
          <w:b/>
          <w:bCs/>
          <w:sz w:val="22"/>
          <w:szCs w:val="22"/>
        </w:rPr>
        <w:t xml:space="preserve">Liberty to apply </w:t>
      </w:r>
      <w:r>
        <w:rPr>
          <w:rFonts w:ascii="Calibri" w:cs="Calibri" w:eastAsia="Calibri" w:hAnsi="Calibri"/>
          <w:sz w:val="22"/>
          <w:szCs w:val="22"/>
        </w:rPr>
        <w:t xml:space="preserve">on reasonable notice, including for the issue of summonses under section 74 of the ART Act.</w:t>
      </w:r>
    </w:p>
    <w:p>
      <w:pPr>
        <w:spacing w:before="480"/>
      </w:pPr>
      <w:r>
        <w:rPr>
          <w:rFonts w:ascii="Calibri" w:cs="Calibri" w:eastAsia="Calibri" w:hAnsi="Calibri"/>
          <w:sz w:val="22"/>
          <w:szCs w:val="22"/>
        </w:rPr>
        <w:t xml:space="preserve">Dated: ______________________ 2026</w:t>
      </w:r>
    </w:p>
    <w:p>
      <w:pPr>
        <w:spacing w:before="600"/>
      </w:pPr>
      <w:r>
        <w:rPr>
          <w:rFonts w:ascii="Calibri" w:cs="Calibri" w:eastAsia="Calibri" w:hAnsi="Calibri"/>
          <w:sz w:val="22"/>
          <w:szCs w:val="22"/>
        </w:rPr>
        <w:t xml:space="preserve">________________________________</w:t>
      </w:r>
    </w:p>
    <w:p>
      <w:r>
        <w:rPr>
          <w:rFonts w:ascii="Calibri" w:cs="Calibri" w:eastAsia="Calibri" w:hAnsi="Calibri"/>
          <w:b/>
          <w:bCs/>
          <w:sz w:val="22"/>
          <w:szCs w:val="22"/>
        </w:rPr>
        <w:t xml:space="preserve">Simon Reid</w:t>
      </w:r>
    </w:p>
    <w:p>
      <w:r>
        <w:rPr>
          <w:rFonts w:ascii="Calibri" w:cs="Calibri" w:eastAsia="Calibri" w:hAnsi="Calibri"/>
          <w:sz w:val="22"/>
          <w:szCs w:val="22"/>
        </w:rPr>
        <w:t xml:space="preserve">Second Applicant, in person</w:t>
      </w:r>
    </w:p>
    <w:sectPr>
      <w:pgSz w:w="11906" w:h="16838" w:orient="portrait"/>
      <w:pgMar w:top="1134" w:right="1304" w:bottom="1134" w:left="130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2026-09-27T02:00:49.754Z</dcterms:created>
  <dcterms:modified xsi:type="dcterms:W3CDTF">2026-09-27T02:00:49.754Z</dcterms:modified>
</cp:coreProperties>
</file>

<file path=docProps/custom.xml><?xml version="1.0" encoding="utf-8"?>
<Properties xmlns="http://schemas.openxmlformats.org/officeDocument/2006/custom-properties" xmlns:vt="http://schemas.openxmlformats.org/officeDocument/2006/docPropsVTypes"/>
</file>