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24"/>
          <w:szCs w:val="24"/>
        </w:rPr>
        <w:t xml:space="preserve">ADMINISTRATIVE REVIEW TRIBUNAL</w:t>
      </w:r>
    </w:p>
    <w:p>
      <w:pPr>
        <w:spacing w:after="240"/>
        <w:jc w:val="center"/>
      </w:pPr>
      <w:r>
        <w:rPr>
          <w:rFonts w:ascii="Calibri" w:cs="Calibri" w:eastAsia="Calibri" w:hAnsi="Calibri"/>
          <w:sz w:val="22"/>
          <w:szCs w:val="22"/>
        </w:rPr>
        <w:t xml:space="preserve">BRISBANE REGISTRY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Tribunal Numbers:</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2023/3361, 2023/3363 and 2023/4494</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First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VIDA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Second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SIMON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Third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FORWARD FOCUSED GROUP PTY LTD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Respondent: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COMMISSIONER OF THE NDIS QUALITY AND SAFEGUARDS COMMISSION</w:t>
            </w:r>
          </w:p>
        </w:tc>
      </w:tr>
    </w:tbl>
    <w:p>
      <w:pPr>
        <w:spacing w:before="240"/>
        <w:jc w:val="center"/>
      </w:pPr>
      <w:r>
        <w:rPr>
          <w:rFonts w:ascii="Calibri" w:cs="Calibri" w:eastAsia="Calibri" w:hAnsi="Calibri"/>
          <w:b/>
          <w:bCs/>
          <w:sz w:val="24"/>
          <w:szCs w:val="24"/>
        </w:rPr>
        <w:t xml:space="preserve">THIRD APPLICANT'S RESPONSE AND PROPOSED DIRECTIONS</w:t>
      </w:r>
    </w:p>
    <w:p>
      <w:pPr>
        <w:spacing w:after="200"/>
        <w:jc w:val="center"/>
      </w:pPr>
      <w:r>
        <w:rPr>
          <w:rFonts w:ascii="Calibri" w:cs="Calibri" w:eastAsia="Calibri" w:hAnsi="Calibri"/>
          <w:sz w:val="22"/>
          <w:szCs w:val="22"/>
        </w:rPr>
        <w:t xml:space="preserve">in response to the Tribunal's decision dated 31 July 2026 and the Respondent's proposed minute of order dated 14 August 2026</w:t>
      </w:r>
    </w:p>
    <w:p>
      <w:pPr>
        <w:spacing w:after="200"/>
        <w:jc w:val="both"/>
      </w:pPr>
      <w:r>
        <w:rPr>
          <w:rFonts w:ascii="Calibri" w:cs="Calibri" w:eastAsia="Calibri" w:hAnsi="Calibri"/>
          <w:b/>
          <w:bCs/>
          <w:i/>
          <w:iCs/>
          <w:sz w:val="20"/>
          <w:szCs w:val="20"/>
        </w:rPr>
        <w:t xml:space="preserve">Use of generative AI: </w:t>
      </w:r>
      <w:r>
        <w:rPr>
          <w:rFonts w:ascii="Calibri" w:cs="Calibri" w:eastAsia="Calibri" w:hAnsi="Calibri"/>
          <w:i/>
          <w:iCs/>
          <w:sz w:val="20"/>
          <w:szCs w:val="20"/>
        </w:rPr>
        <w:t xml:space="preserve">generative AI tools (Claude and ChatGPT) were used to help draft and check this document, including its account of the procedural history and its references to documents and cases. The Third Applicant's director has checked each quotation, date and reference in it against the source document.</w:t>
      </w:r>
    </w:p>
    <w:p>
      <w:pPr>
        <w:spacing w:after="120" w:before="240"/>
      </w:pPr>
      <w:r>
        <w:rPr>
          <w:rFonts w:ascii="Calibri" w:cs="Calibri" w:eastAsia="Calibri" w:hAnsi="Calibri"/>
          <w:b/>
          <w:bCs/>
          <w:sz w:val="22"/>
          <w:szCs w:val="22"/>
        </w:rPr>
        <w:t xml:space="preserve">A.  Position</w:t>
      </w:r>
    </w:p>
    <w:p>
      <w:pPr>
        <w:tabs>
          <w:tab w:val="left" w:pos="567"/>
        </w:tabs>
        <w:spacing w:after="120" w:line="276"/>
        <w:ind w:left="567" w:hanging="567"/>
        <w:jc w:val="both"/>
      </w:pPr>
      <w:r>
        <w:rPr>
          <w:rFonts w:ascii="Calibri" w:cs="Calibri" w:eastAsia="Calibri" w:hAnsi="Calibri"/>
          <w:sz w:val="22"/>
          <w:szCs w:val="22"/>
        </w:rPr>
        <w:t xml:space="preserve">1.	</w:t>
      </w:r>
      <w:r>
        <w:rPr>
          <w:rFonts w:ascii="Calibri" w:cs="Calibri" w:eastAsia="Calibri" w:hAnsi="Calibri"/>
          <w:sz w:val="22"/>
          <w:szCs w:val="22"/>
        </w:rPr>
        <w:t xml:space="preserve">This response is filed by the Third Applicant, Forward Focused Group Pty Ltd, in matter 2023/4494. It does not state the position of, and does not bind, the First or Second Applicants, each of which responds separately.</w:t>
      </w:r>
    </w:p>
    <w:p>
      <w:pPr>
        <w:tabs>
          <w:tab w:val="left" w:pos="567"/>
        </w:tabs>
        <w:spacing w:after="120" w:line="276"/>
        <w:ind w:left="567" w:hanging="567"/>
        <w:jc w:val="both"/>
      </w:pPr>
      <w:r>
        <w:rPr>
          <w:rFonts w:ascii="Calibri" w:cs="Calibri" w:eastAsia="Calibri" w:hAnsi="Calibri"/>
          <w:sz w:val="22"/>
          <w:szCs w:val="22"/>
        </w:rPr>
        <w:t xml:space="preserve">2.	</w:t>
      </w:r>
      <w:r>
        <w:rPr>
          <w:rFonts w:ascii="Calibri" w:cs="Calibri" w:eastAsia="Calibri" w:hAnsi="Calibri"/>
          <w:sz w:val="22"/>
          <w:szCs w:val="22"/>
        </w:rPr>
        <w:t xml:space="preserve">The Third Applicant notes the Tribunal's decision dated 31 July 2026 that the applications proceed together and will proceed in accordance with it. It supports the matters proceeding to a final hearing without further delay, subject to the sequence and content proposed below.</w:t>
      </w:r>
    </w:p>
    <w:p>
      <w:pPr>
        <w:tabs>
          <w:tab w:val="left" w:pos="567"/>
        </w:tabs>
        <w:spacing w:after="120" w:line="276"/>
        <w:ind w:left="567" w:hanging="567"/>
        <w:jc w:val="both"/>
      </w:pPr>
      <w:r>
        <w:rPr>
          <w:rFonts w:ascii="Calibri" w:cs="Calibri" w:eastAsia="Calibri" w:hAnsi="Calibri"/>
          <w:sz w:val="22"/>
          <w:szCs w:val="22"/>
        </w:rPr>
        <w:t xml:space="preserve">3.	</w:t>
      </w:r>
      <w:r>
        <w:rPr>
          <w:rFonts w:ascii="Calibri" w:cs="Calibri" w:eastAsia="Calibri" w:hAnsi="Calibri"/>
          <w:sz w:val="22"/>
          <w:szCs w:val="22"/>
        </w:rPr>
        <w:t xml:space="preserve">Nothing in this response, or omitted from it, is an admission of any fact or contention advanced by the Respondent, and nothing in it waives any privilege.</w:t>
      </w:r>
    </w:p>
    <w:p>
      <w:pPr>
        <w:spacing w:after="120" w:before="240"/>
      </w:pPr>
      <w:r>
        <w:rPr>
          <w:rFonts w:ascii="Calibri" w:cs="Calibri" w:eastAsia="Calibri" w:hAnsi="Calibri"/>
          <w:b/>
          <w:bCs/>
          <w:sz w:val="22"/>
          <w:szCs w:val="22"/>
        </w:rPr>
        <w:t xml:space="preserve">B.  The decision under review, and timing</w:t>
      </w:r>
    </w:p>
    <w:p>
      <w:pPr>
        <w:tabs>
          <w:tab w:val="left" w:pos="567"/>
        </w:tabs>
        <w:spacing w:after="120" w:line="276"/>
        <w:ind w:left="567" w:hanging="567"/>
        <w:jc w:val="both"/>
      </w:pPr>
      <w:r>
        <w:rPr>
          <w:rFonts w:ascii="Calibri" w:cs="Calibri" w:eastAsia="Calibri" w:hAnsi="Calibri"/>
          <w:sz w:val="22"/>
          <w:szCs w:val="22"/>
        </w:rPr>
        <w:t xml:space="preserve">4.	</w:t>
      </w:r>
      <w:r>
        <w:rPr>
          <w:rFonts w:ascii="Calibri" w:cs="Calibri" w:eastAsia="Calibri" w:hAnsi="Calibri"/>
          <w:sz w:val="22"/>
          <w:szCs w:val="22"/>
        </w:rPr>
        <w:t xml:space="preserve">On 20 December 2022 the Respondent made a banning order against the Third Applicant under section 73ZN(1)(a) of the NDIS Act, on the revocation of its registration, for ten years. On internal review on 8 June 2023 the delegate reduced the period to three years because it </w:t>
      </w:r>
      <w:r>
        <w:rPr>
          <w:rFonts w:ascii="Calibri" w:cs="Calibri" w:eastAsia="Calibri" w:hAnsi="Calibri"/>
          <w:sz w:val="22"/>
          <w:szCs w:val="22"/>
        </w:rPr>
        <w:t xml:space="preserve">“corresponds with the amount of time it is reasonably expected to take for the criminal proceedings to be finally determined by the court”</w:t>
      </w:r>
      <w:r>
        <w:rPr>
          <w:rFonts w:ascii="Calibri" w:cs="Calibri" w:eastAsia="Calibri" w:hAnsi="Calibri"/>
          <w:sz w:val="22"/>
          <w:szCs w:val="22"/>
        </w:rPr>
        <w:t xml:space="preserve">, and stated: </w:t>
      </w:r>
      <w:r>
        <w:rPr>
          <w:rFonts w:ascii="Calibri" w:cs="Calibri" w:eastAsia="Calibri" w:hAnsi="Calibri"/>
          <w:sz w:val="22"/>
          <w:szCs w:val="22"/>
        </w:rPr>
        <w:t xml:space="preserve">“Upon determination of those proceedings, the banning order against FFG can be revisited and consideration given to whether it should be varied any further (or revoked entirely).”</w:t>
      </w:r>
      <w:r>
        <w:rPr>
          <w:rFonts w:ascii="Calibri" w:cs="Calibri" w:eastAsia="Calibri" w:hAnsi="Calibri"/>
          <w:sz w:val="22"/>
          <w:szCs w:val="22"/>
        </w:rPr>
        <w:t xml:space="preserve"> (at [73]). The Third Applicant was not charged. The only criminal proceedings identified in the material, against Mrs Reid, were discontinued on 23 February 2024. No variation or revocation was proposed before the order expired at 12:00am on 21 December 2025 (AWST) (at [75]).</w:t>
      </w:r>
    </w:p>
    <w:p>
      <w:pPr>
        <w:tabs>
          <w:tab w:val="left" w:pos="567"/>
        </w:tabs>
        <w:spacing w:after="120" w:line="276"/>
        <w:ind w:left="567" w:hanging="567"/>
        <w:jc w:val="both"/>
      </w:pPr>
      <w:r>
        <w:rPr>
          <w:rFonts w:ascii="Calibri" w:cs="Calibri" w:eastAsia="Calibri" w:hAnsi="Calibri"/>
          <w:sz w:val="22"/>
          <w:szCs w:val="22"/>
        </w:rPr>
        <w:t xml:space="preserve">5.	</w:t>
      </w:r>
      <w:r>
        <w:rPr>
          <w:rFonts w:ascii="Calibri" w:cs="Calibri" w:eastAsia="Calibri" w:hAnsi="Calibri"/>
          <w:sz w:val="22"/>
          <w:szCs w:val="22"/>
        </w:rPr>
        <w:t xml:space="preserve">The review retains its utility. On 13 February 2026 the Respondent's solicitors advised that </w:t>
      </w:r>
      <w:r>
        <w:rPr>
          <w:rFonts w:ascii="Calibri" w:cs="Calibri" w:eastAsia="Calibri" w:hAnsi="Calibri"/>
          <w:sz w:val="22"/>
          <w:szCs w:val="22"/>
        </w:rPr>
        <w:t xml:space="preserve">“it is standard practice for expired banning orders to remain on the NDIS Commission register indefinitely with a status of ‘no longer in force’”</w:t>
      </w:r>
      <w:r>
        <w:rPr>
          <w:rFonts w:ascii="Calibri" w:cs="Calibri" w:eastAsia="Calibri" w:hAnsi="Calibri"/>
          <w:sz w:val="22"/>
          <w:szCs w:val="22"/>
        </w:rPr>
        <w:t xml:space="preserve">. The Commission's Publishing Regulatory Activity Policy provides that information is not published where the compliance or enforcement action to which it relates has been set aside through review by a court or tribunal (at [21]). The Third Applicant seeks that the decision be set aside and a decision substituted that no banning order be made. A substituted decision is taken to have had effect from the time the reviewable decision had effect unless the Tribunal orders otherwise (section 108(4) of the </w:t>
      </w:r>
      <w:r>
        <w:rPr>
          <w:rFonts w:ascii="Calibri" w:cs="Calibri" w:eastAsia="Calibri" w:hAnsi="Calibri"/>
          <w:i/>
          <w:iCs/>
          <w:sz w:val="22"/>
          <w:szCs w:val="22"/>
        </w:rPr>
        <w:t xml:space="preserve">Administrative Review Tribunal Act 2024</w:t>
      </w:r>
      <w:r>
        <w:rPr>
          <w:rFonts w:ascii="Calibri" w:cs="Calibri" w:eastAsia="Calibri" w:hAnsi="Calibri"/>
          <w:sz w:val="22"/>
          <w:szCs w:val="22"/>
        </w:rPr>
        <w:t xml:space="preserve">).</w:t>
      </w:r>
    </w:p>
    <w:p>
      <w:pPr>
        <w:tabs>
          <w:tab w:val="left" w:pos="567"/>
        </w:tabs>
        <w:spacing w:after="120" w:line="276"/>
        <w:ind w:left="567" w:hanging="567"/>
        <w:jc w:val="both"/>
      </w:pPr>
      <w:r>
        <w:rPr>
          <w:rFonts w:ascii="Calibri" w:cs="Calibri" w:eastAsia="Calibri" w:hAnsi="Calibri"/>
          <w:sz w:val="22"/>
          <w:szCs w:val="22"/>
        </w:rPr>
        <w:t xml:space="preserve">6.	</w:t>
      </w:r>
      <w:r>
        <w:rPr>
          <w:rFonts w:ascii="Calibri" w:cs="Calibri" w:eastAsia="Calibri" w:hAnsi="Calibri"/>
          <w:sz w:val="22"/>
          <w:szCs w:val="22"/>
        </w:rPr>
        <w:t xml:space="preserve">The present position is as follows:</w:t>
      </w:r>
    </w:p>
    <w:p>
      <w:pPr>
        <w:tabs>
          <w:tab w:val="left" w:pos="1134"/>
        </w:tabs>
        <w:spacing w:after="80" w:line="276"/>
        <w:ind w:left="1134" w:hanging="567"/>
        <w:jc w:val="both"/>
      </w:pPr>
      <w:r>
        <w:rPr>
          <w:rFonts w:ascii="Calibri" w:cs="Calibri" w:eastAsia="Calibri" w:hAnsi="Calibri"/>
          <w:sz w:val="22"/>
          <w:szCs w:val="22"/>
        </w:rPr>
        <w:t xml:space="preserve">(a)	</w:t>
      </w:r>
      <w:r>
        <w:rPr>
          <w:rFonts w:ascii="Calibri" w:cs="Calibri" w:eastAsia="Calibri" w:hAnsi="Calibri"/>
          <w:sz w:val="22"/>
          <w:szCs w:val="22"/>
        </w:rPr>
        <w:t xml:space="preserve">The Respondent's application of 7 May 2026 under section 70 of the </w:t>
      </w:r>
      <w:r>
        <w:rPr>
          <w:rFonts w:ascii="Calibri" w:cs="Calibri" w:eastAsia="Calibri" w:hAnsi="Calibri"/>
          <w:i/>
          <w:iCs/>
          <w:sz w:val="22"/>
          <w:szCs w:val="22"/>
        </w:rPr>
        <w:t xml:space="preserve">Administrative Review Tribunal Act 2024</w:t>
      </w:r>
      <w:r>
        <w:rPr>
          <w:rFonts w:ascii="Calibri" w:cs="Calibri" w:eastAsia="Calibri" w:hAnsi="Calibri"/>
          <w:sz w:val="22"/>
          <w:szCs w:val="22"/>
        </w:rPr>
        <w:t xml:space="preserve"> (</w:t>
      </w:r>
      <w:r>
        <w:rPr>
          <w:rFonts w:ascii="Calibri" w:cs="Calibri" w:eastAsia="Calibri" w:hAnsi="Calibri"/>
          <w:i/>
          <w:iCs/>
          <w:sz w:val="22"/>
          <w:szCs w:val="22"/>
        </w:rPr>
        <w:t xml:space="preserve">ART Act</w:t>
      </w:r>
      <w:r>
        <w:rPr>
          <w:rFonts w:ascii="Calibri" w:cs="Calibri" w:eastAsia="Calibri" w:hAnsi="Calibri"/>
          <w:sz w:val="22"/>
          <w:szCs w:val="22"/>
        </w:rPr>
        <w:t xml:space="preserve">) remains undetermined.</w:t>
      </w:r>
    </w:p>
    <w:p>
      <w:pPr>
        <w:tabs>
          <w:tab w:val="left" w:pos="1134"/>
        </w:tabs>
        <w:spacing w:after="80" w:line="276"/>
        <w:ind w:left="1134" w:hanging="567"/>
        <w:jc w:val="both"/>
      </w:pPr>
      <w:r>
        <w:rPr>
          <w:rFonts w:ascii="Calibri" w:cs="Calibri" w:eastAsia="Calibri" w:hAnsi="Calibri"/>
          <w:sz w:val="22"/>
          <w:szCs w:val="22"/>
        </w:rPr>
        <w:t xml:space="preserve">(b)	</w:t>
      </w:r>
      <w:r>
        <w:rPr>
          <w:rFonts w:ascii="Calibri" w:cs="Calibri" w:eastAsia="Calibri" w:hAnsi="Calibri"/>
          <w:sz w:val="22"/>
          <w:szCs w:val="22"/>
        </w:rPr>
        <w:t xml:space="preserve">At [41] of its decision the Tribunal directed the Respondent to file and serve a proposed timetable within 14 days and indicated that the applications would then be relisted for a telephone directions hearing. The Respondent served its minute on 14 August 2026. No directions hearing has yet been listed.</w:t>
      </w:r>
    </w:p>
    <w:p>
      <w:pPr>
        <w:tabs>
          <w:tab w:val="left" w:pos="1134"/>
        </w:tabs>
        <w:spacing w:after="80" w:line="276"/>
        <w:ind w:left="1134" w:hanging="567"/>
        <w:jc w:val="both"/>
      </w:pPr>
      <w:r>
        <w:rPr>
          <w:rFonts w:ascii="Calibri" w:cs="Calibri" w:eastAsia="Calibri" w:hAnsi="Calibri"/>
          <w:sz w:val="22"/>
          <w:szCs w:val="22"/>
        </w:rPr>
        <w:t xml:space="preserve">(c)	</w:t>
      </w:r>
      <w:r>
        <w:rPr>
          <w:rFonts w:ascii="Calibri" w:cs="Calibri" w:eastAsia="Calibri" w:hAnsi="Calibri"/>
          <w:sz w:val="22"/>
          <w:szCs w:val="22"/>
        </w:rPr>
        <w:t xml:space="preserve">On 19 March 2026 the Respondent proposed to file an updated tender bundle </w:t>
      </w:r>
      <w:r>
        <w:rPr>
          <w:rFonts w:ascii="Calibri" w:cs="Calibri" w:eastAsia="Calibri" w:hAnsi="Calibri"/>
          <w:sz w:val="22"/>
          <w:szCs w:val="22"/>
        </w:rPr>
        <w:t xml:space="preserve">“consisting of all documents required to be produced under section 23”</w:t>
      </w:r>
      <w:r>
        <w:rPr>
          <w:rFonts w:ascii="Calibri" w:cs="Calibri" w:eastAsia="Calibri" w:hAnsi="Calibri"/>
          <w:sz w:val="22"/>
          <w:szCs w:val="22"/>
        </w:rPr>
        <w:t xml:space="preserve"> of the ART Act (submissions at [18.1]). Its minute proposed that the bundle be filed by 28 August 2026. No order has been made, and the Third Applicant has not received the bundle.</w:t>
      </w:r>
    </w:p>
    <w:p>
      <w:pPr>
        <w:tabs>
          <w:tab w:val="left" w:pos="1134"/>
        </w:tabs>
        <w:spacing w:after="80" w:line="276"/>
        <w:ind w:left="1134" w:hanging="567"/>
        <w:jc w:val="both"/>
      </w:pPr>
      <w:r>
        <w:rPr>
          <w:rFonts w:ascii="Calibri" w:cs="Calibri" w:eastAsia="Calibri" w:hAnsi="Calibri"/>
          <w:sz w:val="22"/>
          <w:szCs w:val="22"/>
        </w:rPr>
        <w:t xml:space="preserve">(d)	</w:t>
      </w:r>
      <w:r>
        <w:rPr>
          <w:rFonts w:ascii="Calibri" w:cs="Calibri" w:eastAsia="Calibri" w:hAnsi="Calibri"/>
          <w:sz w:val="22"/>
          <w:szCs w:val="22"/>
        </w:rPr>
        <w:t xml:space="preserve">The minute proposed that the applicants file their updated statements of facts, issues and contentions (</w:t>
      </w:r>
      <w:r>
        <w:rPr>
          <w:rFonts w:ascii="Calibri" w:cs="Calibri" w:eastAsia="Calibri" w:hAnsi="Calibri"/>
          <w:i/>
          <w:iCs/>
          <w:sz w:val="22"/>
          <w:szCs w:val="22"/>
        </w:rPr>
        <w:t xml:space="preserve">SFICs</w:t>
      </w:r>
      <w:r>
        <w:rPr>
          <w:rFonts w:ascii="Calibri" w:cs="Calibri" w:eastAsia="Calibri" w:hAnsi="Calibri"/>
          <w:sz w:val="22"/>
          <w:szCs w:val="22"/>
        </w:rPr>
        <w:t xml:space="preserve">) and evidence by 25 September 2026 — four weeks after a bundle that has not been served, before the section 70 application is determined, and before the Respondent has identified the case it relies on against each applicant. No order was made in those terms.</w:t>
      </w:r>
    </w:p>
    <w:p>
      <w:pPr>
        <w:tabs>
          <w:tab w:val="left" w:pos="1134"/>
        </w:tabs>
        <w:spacing w:after="80" w:line="276"/>
        <w:ind w:left="1134" w:hanging="567"/>
        <w:jc w:val="both"/>
      </w:pPr>
      <w:r>
        <w:rPr>
          <w:rFonts w:ascii="Calibri" w:cs="Calibri" w:eastAsia="Calibri" w:hAnsi="Calibri"/>
          <w:sz w:val="22"/>
          <w:szCs w:val="22"/>
        </w:rPr>
        <w:t xml:space="preserve">(e)	</w:t>
      </w:r>
      <w:r>
        <w:rPr>
          <w:rFonts w:ascii="Calibri" w:cs="Calibri" w:eastAsia="Calibri" w:hAnsi="Calibri"/>
          <w:sz w:val="22"/>
          <w:szCs w:val="22"/>
        </w:rPr>
        <w:t xml:space="preserve">On 2 November 2023 the Respondent submitted that it would </w:t>
      </w:r>
      <w:r>
        <w:rPr>
          <w:rFonts w:ascii="Calibri" w:cs="Calibri" w:eastAsia="Calibri" w:hAnsi="Calibri"/>
          <w:sz w:val="22"/>
          <w:szCs w:val="22"/>
        </w:rPr>
        <w:t xml:space="preserve">“be happy to work on an expedited timetable to progress these matters when the current (and any reasonably possible) criminal proceedings are concluded”</w:t>
      </w:r>
      <w:r>
        <w:rPr>
          <w:rFonts w:ascii="Calibri" w:cs="Calibri" w:eastAsia="Calibri" w:hAnsi="Calibri"/>
          <w:sz w:val="22"/>
          <w:szCs w:val="22"/>
        </w:rPr>
        <w:t xml:space="preserve"> (submissions at [23]).</w:t>
      </w:r>
    </w:p>
    <w:p>
      <w:pPr>
        <w:tabs>
          <w:tab w:val="left" w:pos="567"/>
        </w:tabs>
        <w:spacing w:after="120" w:line="276"/>
        <w:ind w:left="567" w:hanging="567"/>
        <w:jc w:val="both"/>
      </w:pPr>
      <w:r>
        <w:rPr>
          <w:rFonts w:ascii="Calibri" w:cs="Calibri" w:eastAsia="Calibri" w:hAnsi="Calibri"/>
          <w:sz w:val="22"/>
          <w:szCs w:val="22"/>
        </w:rPr>
        <w:t xml:space="preserve">7.	</w:t>
      </w:r>
      <w:r>
        <w:rPr>
          <w:rFonts w:ascii="Calibri" w:cs="Calibri" w:eastAsia="Calibri" w:hAnsi="Calibri"/>
          <w:sz w:val="22"/>
          <w:szCs w:val="22"/>
        </w:rPr>
        <w:t xml:space="preserve">The procedural history includes delay from a number of causes. The Third Applicant does not seek to revisit it. The Third Applicant asks for a timetable with firm dates that allows the review to be heard and decided well before December 2027, when the individual orders against the First and Second Applicants expire.</w:t>
      </w:r>
    </w:p>
    <w:p>
      <w:pPr>
        <w:tabs>
          <w:tab w:val="left" w:pos="567"/>
        </w:tabs>
        <w:spacing w:after="120" w:line="276"/>
        <w:ind w:left="567" w:hanging="567"/>
        <w:jc w:val="both"/>
      </w:pPr>
      <w:r>
        <w:rPr>
          <w:rFonts w:ascii="Calibri" w:cs="Calibri" w:eastAsia="Calibri" w:hAnsi="Calibri"/>
          <w:sz w:val="22"/>
          <w:szCs w:val="22"/>
        </w:rPr>
        <w:t xml:space="preserve">8.	</w:t>
      </w:r>
      <w:r>
        <w:rPr>
          <w:rFonts w:ascii="Calibri" w:cs="Calibri" w:eastAsia="Calibri" w:hAnsi="Calibri"/>
          <w:sz w:val="22"/>
          <w:szCs w:val="22"/>
        </w:rPr>
        <w:t xml:space="preserve">The sequence proposed in Part F runs for the same period as the Respondent's minute: 84 days from the start of the timetable to the date for replies. Its main differences are that the section 70 application is determined first, the Respondent's statement of its case is served with the supplementary tender bundle, the time for the Third Applicant's material runs from service rather than from fixed dates, and there is a step for identifying witnesses.</w:t>
      </w:r>
    </w:p>
    <w:p>
      <w:pPr>
        <w:spacing w:after="120" w:before="240"/>
      </w:pPr>
      <w:r>
        <w:rPr>
          <w:rFonts w:ascii="Calibri" w:cs="Calibri" w:eastAsia="Calibri" w:hAnsi="Calibri"/>
          <w:b/>
          <w:bCs/>
          <w:sz w:val="22"/>
          <w:szCs w:val="22"/>
        </w:rPr>
        <w:t xml:space="preserve">C.  The case the Third Applicant must meet</w:t>
      </w:r>
    </w:p>
    <w:p>
      <w:pPr>
        <w:tabs>
          <w:tab w:val="left" w:pos="567"/>
        </w:tabs>
        <w:spacing w:after="120" w:line="276"/>
        <w:ind w:left="567" w:hanging="567"/>
        <w:jc w:val="both"/>
      </w:pPr>
      <w:r>
        <w:rPr>
          <w:rFonts w:ascii="Calibri" w:cs="Calibri" w:eastAsia="Calibri" w:hAnsi="Calibri"/>
          <w:sz w:val="22"/>
          <w:szCs w:val="22"/>
        </w:rPr>
        <w:t xml:space="preserve">9.	</w:t>
      </w:r>
      <w:r>
        <w:rPr>
          <w:rFonts w:ascii="Calibri" w:cs="Calibri" w:eastAsia="Calibri" w:hAnsi="Calibri"/>
          <w:sz w:val="22"/>
          <w:szCs w:val="22"/>
        </w:rPr>
        <w:t xml:space="preserve">At [38] of its decision the Tribunal identified that it will need to consider whether each applicant is a suitable person to be involved in the provision of services to people with disability under section 73ZN(2) of the </w:t>
      </w:r>
      <w:r>
        <w:rPr>
          <w:rFonts w:ascii="Calibri" w:cs="Calibri" w:eastAsia="Calibri" w:hAnsi="Calibri"/>
          <w:i/>
          <w:iCs/>
          <w:sz w:val="22"/>
          <w:szCs w:val="22"/>
        </w:rPr>
        <w:t xml:space="preserve">National Disability Insurance Scheme Act 2013</w:t>
      </w:r>
      <w:r>
        <w:rPr>
          <w:rFonts w:ascii="Calibri" w:cs="Calibri" w:eastAsia="Calibri" w:hAnsi="Calibri"/>
          <w:sz w:val="22"/>
          <w:szCs w:val="22"/>
        </w:rPr>
        <w:t xml:space="preserve"> (</w:t>
      </w:r>
      <w:r>
        <w:rPr>
          <w:rFonts w:ascii="Calibri" w:cs="Calibri" w:eastAsia="Calibri" w:hAnsi="Calibri"/>
          <w:i/>
          <w:iCs/>
          <w:sz w:val="22"/>
          <w:szCs w:val="22"/>
        </w:rPr>
        <w:t xml:space="preserve">NDIS Act</w:t>
      </w:r>
      <w:r>
        <w:rPr>
          <w:rFonts w:ascii="Calibri" w:cs="Calibri" w:eastAsia="Calibri" w:hAnsi="Calibri"/>
          <w:sz w:val="22"/>
          <w:szCs w:val="22"/>
        </w:rPr>
        <w:t xml:space="preserve">). The order against the Third Applicant was made under a different provision, section 73ZN(1)(a), following the revocation of its registration (internal review at [62]). The Third Applicant asks that the case against it be identified by reference to that provision, separately from the individual orders.</w:t>
      </w:r>
    </w:p>
    <w:p>
      <w:pPr>
        <w:tabs>
          <w:tab w:val="left" w:pos="567"/>
        </w:tabs>
        <w:spacing w:after="120" w:line="276"/>
        <w:ind w:left="567" w:hanging="567"/>
        <w:jc w:val="both"/>
      </w:pPr>
      <w:r>
        <w:rPr>
          <w:rFonts w:ascii="Calibri" w:cs="Calibri" w:eastAsia="Calibri" w:hAnsi="Calibri"/>
          <w:sz w:val="22"/>
          <w:szCs w:val="22"/>
        </w:rPr>
        <w:t xml:space="preserve">10.	</w:t>
      </w:r>
      <w:r>
        <w:rPr>
          <w:rFonts w:ascii="Calibri" w:cs="Calibri" w:eastAsia="Calibri" w:hAnsi="Calibri"/>
          <w:sz w:val="22"/>
          <w:szCs w:val="22"/>
        </w:rPr>
        <w:t xml:space="preserve">The matters summarised at [35] to [37] of the decision are, as [38] records, allegations; in summarising them the Tribunal was assisted by the Respondent's summary (at [33]). The Third Applicant disputes them in so far as they are relied on against it.</w:t>
      </w:r>
    </w:p>
    <w:p>
      <w:pPr>
        <w:tabs>
          <w:tab w:val="left" w:pos="567"/>
        </w:tabs>
        <w:spacing w:after="120" w:line="276"/>
        <w:ind w:left="567" w:hanging="567"/>
        <w:jc w:val="both"/>
      </w:pPr>
      <w:r>
        <w:rPr>
          <w:rFonts w:ascii="Calibri" w:cs="Calibri" w:eastAsia="Calibri" w:hAnsi="Calibri"/>
          <w:sz w:val="22"/>
          <w:szCs w:val="22"/>
        </w:rPr>
        <w:t xml:space="preserve">11.	</w:t>
      </w:r>
      <w:r>
        <w:rPr>
          <w:rFonts w:ascii="Calibri" w:cs="Calibri" w:eastAsia="Calibri" w:hAnsi="Calibri"/>
          <w:sz w:val="22"/>
          <w:szCs w:val="22"/>
        </w:rPr>
        <w:t xml:space="preserve">The internal review accepted that the power in section 73ZN(1)(a) is discretionary, and that the original decision had not articulated a reason for the banning order beyond the revocation of registration (at [36]–[37] and [65]). It stated that such an order should </w:t>
      </w:r>
      <w:r>
        <w:rPr>
          <w:rFonts w:ascii="Calibri" w:cs="Calibri" w:eastAsia="Calibri" w:hAnsi="Calibri"/>
          <w:sz w:val="22"/>
          <w:szCs w:val="22"/>
        </w:rPr>
        <w:t xml:space="preserve">“only be used if there is some further or compelling reason”</w:t>
      </w:r>
      <w:r>
        <w:rPr>
          <w:rFonts w:ascii="Calibri" w:cs="Calibri" w:eastAsia="Calibri" w:hAnsi="Calibri"/>
          <w:sz w:val="22"/>
          <w:szCs w:val="22"/>
        </w:rPr>
        <w:t xml:space="preserve"> (at [37(a)]), and then gave its own reasons (at [66]): that the Third Applicant was </w:t>
      </w:r>
      <w:r>
        <w:rPr>
          <w:rFonts w:ascii="Calibri" w:cs="Calibri" w:eastAsia="Calibri" w:hAnsi="Calibri"/>
          <w:sz w:val="22"/>
          <w:szCs w:val="22"/>
        </w:rPr>
        <w:t xml:space="preserve">“used by the key personnel of the company as a vehicle to perpetrate the alleged fraud against the NDIS”</w:t>
      </w:r>
      <w:r>
        <w:rPr>
          <w:rFonts w:ascii="Calibri" w:cs="Calibri" w:eastAsia="Calibri" w:hAnsi="Calibri"/>
          <w:sz w:val="22"/>
          <w:szCs w:val="22"/>
        </w:rPr>
        <w:t xml:space="preserve">, and that revocation of its registration did not prevent it providing supports and services for which registration is not required. The Third Applicant disputes those reasons. It asks that the Respondent state whether it maintains them, and identify the claims and conduct it attributes to the Third Applicant and the evidence for each, before the Third Applicant files its evidence.</w:t>
      </w:r>
    </w:p>
    <w:p>
      <w:pPr>
        <w:tabs>
          <w:tab w:val="left" w:pos="567"/>
        </w:tabs>
        <w:spacing w:after="120" w:line="276"/>
        <w:ind w:left="567" w:hanging="567"/>
        <w:jc w:val="both"/>
      </w:pPr>
      <w:r>
        <w:rPr>
          <w:rFonts w:ascii="Calibri" w:cs="Calibri" w:eastAsia="Calibri" w:hAnsi="Calibri"/>
          <w:sz w:val="22"/>
          <w:szCs w:val="22"/>
        </w:rPr>
        <w:t xml:space="preserve">12.	</w:t>
      </w:r>
      <w:r>
        <w:rPr>
          <w:rFonts w:ascii="Calibri" w:cs="Calibri" w:eastAsia="Calibri" w:hAnsi="Calibri"/>
          <w:sz w:val="22"/>
          <w:szCs w:val="22"/>
        </w:rPr>
        <w:t xml:space="preserve">The Third Applicant does not ask the Tribunal to limit the material the Respondent may rely on. It asks only that the case be identified so that the hearing addresses a defined case rather than allegations at large.</w:t>
      </w:r>
    </w:p>
    <w:p>
      <w:pPr>
        <w:spacing w:after="120" w:before="240"/>
      </w:pPr>
      <w:r>
        <w:rPr>
          <w:rFonts w:ascii="Calibri" w:cs="Calibri" w:eastAsia="Calibri" w:hAnsi="Calibri"/>
          <w:b/>
          <w:bCs/>
          <w:sz w:val="22"/>
          <w:szCs w:val="22"/>
        </w:rPr>
        <w:t xml:space="preserve">D.  Documents</w:t>
      </w:r>
    </w:p>
    <w:p>
      <w:pPr>
        <w:tabs>
          <w:tab w:val="left" w:pos="567"/>
        </w:tabs>
        <w:spacing w:after="120" w:line="276"/>
        <w:ind w:left="567" w:hanging="567"/>
        <w:jc w:val="both"/>
      </w:pPr>
      <w:r>
        <w:rPr>
          <w:rFonts w:ascii="Calibri" w:cs="Calibri" w:eastAsia="Calibri" w:hAnsi="Calibri"/>
          <w:sz w:val="22"/>
          <w:szCs w:val="22"/>
        </w:rPr>
        <w:t xml:space="preserve">13.	</w:t>
      </w:r>
      <w:r>
        <w:rPr>
          <w:rFonts w:ascii="Calibri" w:cs="Calibri" w:eastAsia="Calibri" w:hAnsi="Calibri"/>
          <w:sz w:val="22"/>
          <w:szCs w:val="22"/>
        </w:rPr>
        <w:t xml:space="preserve">On 12 September 2023 the Tribunal ordered (order 2) that, until further order and </w:t>
      </w:r>
      <w:r>
        <w:rPr>
          <w:rFonts w:ascii="Calibri" w:cs="Calibri" w:eastAsia="Calibri" w:hAnsi="Calibri"/>
          <w:sz w:val="22"/>
          <w:szCs w:val="22"/>
        </w:rPr>
        <w:t xml:space="preserve">“by reason of current criminal proceedings and/or legal professional privilege”</w:t>
      </w:r>
      <w:r>
        <w:rPr>
          <w:rFonts w:ascii="Calibri" w:cs="Calibri" w:eastAsia="Calibri" w:hAnsi="Calibri"/>
          <w:sz w:val="22"/>
          <w:szCs w:val="22"/>
        </w:rPr>
        <w:t xml:space="preserve">, the Respondent was not required to give the applicants the documents in the bundle marked </w:t>
      </w:r>
      <w:r>
        <w:rPr>
          <w:rFonts w:ascii="Calibri" w:cs="Calibri" w:eastAsia="Calibri" w:hAnsi="Calibri"/>
          <w:sz w:val="22"/>
          <w:szCs w:val="22"/>
        </w:rPr>
        <w:t xml:space="preserve">“Index – Confidential Tribunal Documents”</w:t>
      </w:r>
      <w:r>
        <w:rPr>
          <w:rFonts w:ascii="Calibri" w:cs="Calibri" w:eastAsia="Calibri" w:hAnsi="Calibri"/>
          <w:sz w:val="22"/>
          <w:szCs w:val="22"/>
        </w:rPr>
        <w:t xml:space="preserve">. The Respondent had submitted that it </w:t>
      </w:r>
      <w:r>
        <w:rPr>
          <w:rFonts w:ascii="Calibri" w:cs="Calibri" w:eastAsia="Calibri" w:hAnsi="Calibri"/>
          <w:sz w:val="22"/>
          <w:szCs w:val="22"/>
        </w:rPr>
        <w:t xml:space="preserve">“anticipates regularly reviewing the documents set out in the confidential index with a view to disclosing them if and/or when, the grounds for this application fall away”</w:t>
      </w:r>
      <w:r>
        <w:rPr>
          <w:rFonts w:ascii="Calibri" w:cs="Calibri" w:eastAsia="Calibri" w:hAnsi="Calibri"/>
          <w:sz w:val="22"/>
          <w:szCs w:val="22"/>
        </w:rPr>
        <w:t xml:space="preserve"> (submissions of 12 September 2023 at [23]). The only criminal proceedings identified in the material were discontinued on 23 February 2024. The Third Applicant asks that the Respondent now state, document by document, whether it maintains that each should continue to be withheld and on what ground, and that the Tribunal then decide whether order 2 should be varied or revoked.</w:t>
      </w:r>
    </w:p>
    <w:p>
      <w:pPr>
        <w:tabs>
          <w:tab w:val="left" w:pos="567"/>
        </w:tabs>
        <w:spacing w:after="120" w:line="276"/>
        <w:ind w:left="567" w:hanging="567"/>
        <w:jc w:val="both"/>
      </w:pPr>
      <w:r>
        <w:rPr>
          <w:rFonts w:ascii="Calibri" w:cs="Calibri" w:eastAsia="Calibri" w:hAnsi="Calibri"/>
          <w:sz w:val="22"/>
          <w:szCs w:val="22"/>
        </w:rPr>
        <w:t xml:space="preserve">14.	</w:t>
      </w:r>
      <w:r>
        <w:rPr>
          <w:rFonts w:ascii="Calibri" w:cs="Calibri" w:eastAsia="Calibri" w:hAnsi="Calibri"/>
          <w:sz w:val="22"/>
          <w:szCs w:val="22"/>
        </w:rPr>
        <w:t xml:space="preserve">Section 23 of the ART Act requires the decision-maker to give the Tribunal every document in its possession or control that is relevant to the review. The Third Applicant asks that the documents be before the Tribunal and described sufficiently for relevance or restriction to be decided by the Tribunal.</w:t>
      </w:r>
    </w:p>
    <w:p>
      <w:pPr>
        <w:spacing w:after="120" w:before="240"/>
      </w:pPr>
      <w:r>
        <w:rPr>
          <w:rFonts w:ascii="Calibri" w:cs="Calibri" w:eastAsia="Calibri" w:hAnsi="Calibri"/>
          <w:b/>
          <w:bCs/>
          <w:sz w:val="22"/>
          <w:szCs w:val="22"/>
        </w:rPr>
        <w:t xml:space="preserve">E.  Form of any order</w:t>
      </w:r>
    </w:p>
    <w:p>
      <w:pPr>
        <w:tabs>
          <w:tab w:val="left" w:pos="567"/>
        </w:tabs>
        <w:spacing w:after="120" w:line="276"/>
        <w:ind w:left="567" w:hanging="567"/>
        <w:jc w:val="both"/>
      </w:pPr>
      <w:r>
        <w:rPr>
          <w:rFonts w:ascii="Calibri" w:cs="Calibri" w:eastAsia="Calibri" w:hAnsi="Calibri"/>
          <w:sz w:val="22"/>
          <w:szCs w:val="22"/>
        </w:rPr>
        <w:t xml:space="preserve">15.	</w:t>
      </w:r>
      <w:r>
        <w:rPr>
          <w:rFonts w:ascii="Calibri" w:cs="Calibri" w:eastAsia="Calibri" w:hAnsi="Calibri"/>
          <w:sz w:val="22"/>
          <w:szCs w:val="22"/>
        </w:rPr>
        <w:t xml:space="preserve">The order prohibited the Third Applicant from </w:t>
      </w:r>
      <w:r>
        <w:rPr>
          <w:rFonts w:ascii="Calibri" w:cs="Calibri" w:eastAsia="Calibri" w:hAnsi="Calibri"/>
          <w:sz w:val="22"/>
          <w:szCs w:val="22"/>
        </w:rPr>
        <w:t xml:space="preserve">“providing supports or services, directly or indirectly, to NDIS-funded participants”</w:t>
      </w:r>
      <w:r>
        <w:rPr>
          <w:rFonts w:ascii="Calibri" w:cs="Calibri" w:eastAsia="Calibri" w:hAnsi="Calibri"/>
          <w:sz w:val="22"/>
          <w:szCs w:val="22"/>
        </w:rPr>
        <w:t xml:space="preserve">. The Third Applicant reserves its position on the form of the order.</w:t>
      </w:r>
    </w:p>
    <w:p>
      <w:pPr>
        <w:spacing w:after="120" w:before="240"/>
      </w:pPr>
      <w:r>
        <w:rPr>
          <w:rFonts w:ascii="Calibri" w:cs="Calibri" w:eastAsia="Calibri" w:hAnsi="Calibri"/>
          <w:b/>
          <w:bCs/>
          <w:sz w:val="22"/>
          <w:szCs w:val="22"/>
        </w:rPr>
        <w:t xml:space="preserve">F.  Directions sought</w:t>
      </w:r>
    </w:p>
    <w:p>
      <w:pPr>
        <w:tabs>
          <w:tab w:val="left" w:pos="567"/>
        </w:tabs>
        <w:spacing w:after="120" w:line="276"/>
        <w:ind w:left="567" w:hanging="567"/>
        <w:jc w:val="both"/>
      </w:pPr>
      <w:r>
        <w:rPr>
          <w:rFonts w:ascii="Calibri" w:cs="Calibri" w:eastAsia="Calibri" w:hAnsi="Calibri"/>
          <w:sz w:val="22"/>
          <w:szCs w:val="22"/>
        </w:rPr>
        <w:t xml:space="preserve">D1.	</w:t>
      </w:r>
      <w:r>
        <w:rPr>
          <w:rFonts w:ascii="Calibri" w:cs="Calibri" w:eastAsia="Calibri" w:hAnsi="Calibri"/>
          <w:b/>
          <w:bCs/>
          <w:sz w:val="22"/>
          <w:szCs w:val="22"/>
        </w:rPr>
        <w:t xml:space="preserve">Directions hearing. </w:t>
      </w:r>
      <w:r>
        <w:rPr>
          <w:rFonts w:ascii="Calibri" w:cs="Calibri" w:eastAsia="Calibri" w:hAnsi="Calibri"/>
          <w:sz w:val="22"/>
          <w:szCs w:val="22"/>
        </w:rPr>
        <w:t xml:space="preserve">The applications be listed for the telephone directions hearing foreshadowed at [41] of the decision dated 31 July 2026 at the earliest available date.</w:t>
      </w:r>
    </w:p>
    <w:p>
      <w:pPr>
        <w:tabs>
          <w:tab w:val="left" w:pos="567"/>
        </w:tabs>
        <w:spacing w:after="120" w:line="276"/>
        <w:ind w:left="567" w:hanging="567"/>
        <w:jc w:val="both"/>
      </w:pPr>
      <w:r>
        <w:rPr>
          <w:rFonts w:ascii="Calibri" w:cs="Calibri" w:eastAsia="Calibri" w:hAnsi="Calibri"/>
          <w:sz w:val="22"/>
          <w:szCs w:val="22"/>
        </w:rPr>
        <w:t xml:space="preserve">D2.	</w:t>
      </w:r>
      <w:r>
        <w:rPr>
          <w:rFonts w:ascii="Calibri" w:cs="Calibri" w:eastAsia="Calibri" w:hAnsi="Calibri"/>
          <w:b/>
          <w:bCs/>
          <w:sz w:val="22"/>
          <w:szCs w:val="22"/>
        </w:rPr>
        <w:t xml:space="preserve">Section 70 application. </w:t>
      </w:r>
      <w:r>
        <w:rPr>
          <w:rFonts w:ascii="Calibri" w:cs="Calibri" w:eastAsia="Calibri" w:hAnsi="Calibri"/>
          <w:sz w:val="22"/>
          <w:szCs w:val="22"/>
        </w:rPr>
        <w:t xml:space="preserve">If not already determined, the Respondent's application of 7 May 2026 be determined at the directions hearing after brief oral submissions, the Tribunal being at liberty to inspect the documents.</w:t>
      </w:r>
    </w:p>
    <w:p>
      <w:pPr>
        <w:tabs>
          <w:tab w:val="left" w:pos="567"/>
        </w:tabs>
        <w:spacing w:after="120" w:line="276"/>
        <w:ind w:left="567" w:hanging="567"/>
        <w:jc w:val="both"/>
      </w:pPr>
      <w:r>
        <w:rPr>
          <w:rFonts w:ascii="Calibri" w:cs="Calibri" w:eastAsia="Calibri" w:hAnsi="Calibri"/>
          <w:sz w:val="22"/>
          <w:szCs w:val="22"/>
        </w:rPr>
        <w:t xml:space="preserve">D3.	</w:t>
      </w:r>
      <w:r>
        <w:rPr>
          <w:rFonts w:ascii="Calibri" w:cs="Calibri" w:eastAsia="Calibri" w:hAnsi="Calibri"/>
          <w:b/>
          <w:bCs/>
          <w:sz w:val="22"/>
          <w:szCs w:val="22"/>
        </w:rPr>
        <w:t xml:space="preserve">Documents. </w:t>
      </w:r>
      <w:r>
        <w:rPr>
          <w:rFonts w:ascii="Calibri" w:cs="Calibri" w:eastAsia="Calibri" w:hAnsi="Calibri"/>
          <w:sz w:val="22"/>
          <w:szCs w:val="22"/>
        </w:rPr>
        <w:t xml:space="preserve">Within 14 days, the Respondent:</w:t>
      </w:r>
    </w:p>
    <w:p>
      <w:pPr>
        <w:tabs>
          <w:tab w:val="left" w:pos="1134"/>
        </w:tabs>
        <w:spacing w:after="80" w:line="276"/>
        <w:ind w:left="1134" w:hanging="567"/>
        <w:jc w:val="both"/>
      </w:pPr>
      <w:r>
        <w:rPr>
          <w:rFonts w:ascii="Calibri" w:cs="Calibri" w:eastAsia="Calibri" w:hAnsi="Calibri"/>
          <w:sz w:val="22"/>
          <w:szCs w:val="22"/>
        </w:rPr>
        <w:t xml:space="preserve">(a)	</w:t>
      </w:r>
      <w:r>
        <w:rPr>
          <w:rFonts w:ascii="Calibri" w:cs="Calibri" w:eastAsia="Calibri" w:hAnsi="Calibri"/>
          <w:sz w:val="22"/>
          <w:szCs w:val="22"/>
        </w:rPr>
        <w:t xml:space="preserve">state, for each document in the bundle marked </w:t>
      </w:r>
      <w:r>
        <w:rPr>
          <w:rFonts w:ascii="Calibri" w:cs="Calibri" w:eastAsia="Calibri" w:hAnsi="Calibri"/>
          <w:sz w:val="22"/>
          <w:szCs w:val="22"/>
        </w:rPr>
        <w:t xml:space="preserve">“Index – Confidential Tribunal Documents”</w:t>
      </w:r>
      <w:r>
        <w:rPr>
          <w:rFonts w:ascii="Calibri" w:cs="Calibri" w:eastAsia="Calibri" w:hAnsi="Calibri"/>
          <w:sz w:val="22"/>
          <w:szCs w:val="22"/>
        </w:rPr>
        <w:t xml:space="preserve">, whether it maintains that the document should continue to be withheld from the applicants and, if so, on what ground, identifying any claim of legal professional privilege separately; and</w:t>
      </w:r>
    </w:p>
    <w:p>
      <w:pPr>
        <w:tabs>
          <w:tab w:val="left" w:pos="1134"/>
        </w:tabs>
        <w:spacing w:after="80" w:line="276"/>
        <w:ind w:left="1134" w:hanging="567"/>
        <w:jc w:val="both"/>
      </w:pPr>
      <w:r>
        <w:rPr>
          <w:rFonts w:ascii="Calibri" w:cs="Calibri" w:eastAsia="Calibri" w:hAnsi="Calibri"/>
          <w:sz w:val="22"/>
          <w:szCs w:val="22"/>
        </w:rPr>
        <w:t xml:space="preserve">(b)	</w:t>
      </w:r>
      <w:r>
        <w:rPr>
          <w:rFonts w:ascii="Calibri" w:cs="Calibri" w:eastAsia="Calibri" w:hAnsi="Calibri"/>
          <w:sz w:val="22"/>
          <w:szCs w:val="22"/>
        </w:rPr>
        <w:t xml:space="preserve">file and serve a list describing each other document it withholds from the Third Applicant (date, author, recipient, general nature) and the basis for withholding it.</w:t>
      </w:r>
    </w:p>
    <w:p>
      <w:pPr>
        <w:spacing w:after="120"/>
        <w:ind w:left="567"/>
        <w:jc w:val="both"/>
      </w:pPr>
      <w:r>
        <w:rPr>
          <w:rFonts w:ascii="Calibri" w:cs="Calibri" w:eastAsia="Calibri" w:hAnsi="Calibri"/>
          <w:sz w:val="22"/>
          <w:szCs w:val="22"/>
        </w:rPr>
        <w:t xml:space="preserve">The Third Applicant may respond within 7 days after service. The Tribunal then determine, at a case event, whether order 2 of the orders of 12 September 2023 should be varied or revoked in respect of any document, and any other dispute about the documents.</w:t>
      </w:r>
    </w:p>
    <w:p>
      <w:pPr>
        <w:tabs>
          <w:tab w:val="left" w:pos="567"/>
        </w:tabs>
        <w:spacing w:after="120" w:line="276"/>
        <w:ind w:left="567" w:hanging="567"/>
        <w:jc w:val="both"/>
      </w:pPr>
      <w:r>
        <w:rPr>
          <w:rFonts w:ascii="Calibri" w:cs="Calibri" w:eastAsia="Calibri" w:hAnsi="Calibri"/>
          <w:sz w:val="22"/>
          <w:szCs w:val="22"/>
        </w:rPr>
        <w:t xml:space="preserve">D4.	</w:t>
      </w:r>
      <w:r>
        <w:rPr>
          <w:rFonts w:ascii="Calibri" w:cs="Calibri" w:eastAsia="Calibri" w:hAnsi="Calibri"/>
          <w:b/>
          <w:bCs/>
          <w:sz w:val="22"/>
          <w:szCs w:val="22"/>
        </w:rPr>
        <w:t xml:space="preserve">Supplementary tender bundle. </w:t>
      </w:r>
      <w:r>
        <w:rPr>
          <w:rFonts w:ascii="Calibri" w:cs="Calibri" w:eastAsia="Calibri" w:hAnsi="Calibri"/>
          <w:sz w:val="22"/>
          <w:szCs w:val="22"/>
        </w:rPr>
        <w:t xml:space="preserve">Within 14 days of the determination of the section 70 application, the Respondent lodge and serve its supplementary tender bundle consisting of all documents required to be produced under section 23 of the ART Act, subject to any order of the Tribunal.</w:t>
      </w:r>
    </w:p>
    <w:p>
      <w:pPr>
        <w:tabs>
          <w:tab w:val="left" w:pos="567"/>
        </w:tabs>
        <w:spacing w:after="120" w:line="276"/>
        <w:ind w:left="567" w:hanging="567"/>
        <w:jc w:val="both"/>
      </w:pPr>
      <w:r>
        <w:rPr>
          <w:rFonts w:ascii="Calibri" w:cs="Calibri" w:eastAsia="Calibri" w:hAnsi="Calibri"/>
          <w:sz w:val="22"/>
          <w:szCs w:val="22"/>
        </w:rPr>
        <w:t xml:space="preserve">D5.	</w:t>
      </w:r>
      <w:r>
        <w:rPr>
          <w:rFonts w:ascii="Calibri" w:cs="Calibri" w:eastAsia="Calibri" w:hAnsi="Calibri"/>
          <w:b/>
          <w:bCs/>
          <w:sz w:val="22"/>
          <w:szCs w:val="22"/>
        </w:rPr>
        <w:t xml:space="preserve">Respondent's statement of case. </w:t>
      </w:r>
      <w:r>
        <w:rPr>
          <w:rFonts w:ascii="Calibri" w:cs="Calibri" w:eastAsia="Calibri" w:hAnsi="Calibri"/>
          <w:sz w:val="22"/>
          <w:szCs w:val="22"/>
        </w:rPr>
        <w:t xml:space="preserve">Pursuant to section 79 of the ART Act, at the same time as it serves the supplementary tender bundle, the Respondent file and serve a short statement identifying, in respect of the Third Applicant:</w:t>
      </w:r>
    </w:p>
    <w:p>
      <w:pPr>
        <w:tabs>
          <w:tab w:val="left" w:pos="1134"/>
        </w:tabs>
        <w:spacing w:after="80" w:line="276"/>
        <w:ind w:left="1134" w:hanging="567"/>
        <w:jc w:val="both"/>
      </w:pPr>
      <w:r>
        <w:rPr>
          <w:rFonts w:ascii="Calibri" w:cs="Calibri" w:eastAsia="Calibri" w:hAnsi="Calibri"/>
          <w:sz w:val="22"/>
          <w:szCs w:val="22"/>
        </w:rPr>
        <w:t xml:space="preserve">(a)	</w:t>
      </w:r>
      <w:r>
        <w:rPr>
          <w:rFonts w:ascii="Calibri" w:cs="Calibri" w:eastAsia="Calibri" w:hAnsi="Calibri"/>
          <w:sz w:val="22"/>
          <w:szCs w:val="22"/>
        </w:rPr>
        <w:t xml:space="preserve">the decision it will ask the Tribunal to make, and the provision of the NDIS Act relied on;</w:t>
      </w:r>
    </w:p>
    <w:p>
      <w:pPr>
        <w:tabs>
          <w:tab w:val="left" w:pos="1134"/>
        </w:tabs>
        <w:spacing w:after="80" w:line="276"/>
        <w:ind w:left="1134" w:hanging="567"/>
        <w:jc w:val="both"/>
      </w:pPr>
      <w:r>
        <w:rPr>
          <w:rFonts w:ascii="Calibri" w:cs="Calibri" w:eastAsia="Calibri" w:hAnsi="Calibri"/>
          <w:sz w:val="22"/>
          <w:szCs w:val="22"/>
        </w:rPr>
        <w:t xml:space="preserve">(b)	</w:t>
      </w:r>
      <w:r>
        <w:rPr>
          <w:rFonts w:ascii="Calibri" w:cs="Calibri" w:eastAsia="Calibri" w:hAnsi="Calibri"/>
          <w:sz w:val="22"/>
          <w:szCs w:val="22"/>
        </w:rPr>
        <w:t xml:space="preserve">whether it maintains the reasons given at [66] of the internal review decision and, if so, the findings of fact relied on for them;</w:t>
      </w:r>
    </w:p>
    <w:p>
      <w:pPr>
        <w:tabs>
          <w:tab w:val="left" w:pos="1134"/>
        </w:tabs>
        <w:spacing w:after="80" w:line="276"/>
        <w:ind w:left="1134" w:hanging="567"/>
        <w:jc w:val="both"/>
      </w:pPr>
      <w:r>
        <w:rPr>
          <w:rFonts w:ascii="Calibri" w:cs="Calibri" w:eastAsia="Calibri" w:hAnsi="Calibri"/>
          <w:sz w:val="22"/>
          <w:szCs w:val="22"/>
        </w:rPr>
        <w:t xml:space="preserve">(c)	</w:t>
      </w:r>
      <w:r>
        <w:rPr>
          <w:rFonts w:ascii="Calibri" w:cs="Calibri" w:eastAsia="Calibri" w:hAnsi="Calibri"/>
          <w:sz w:val="22"/>
          <w:szCs w:val="22"/>
        </w:rPr>
        <w:t xml:space="preserve">by schedule, each claim relied on against the Third Applicant (participant, service dates and amount), noting any claim later cancelled, offset or repaid;</w:t>
      </w:r>
    </w:p>
    <w:p>
      <w:pPr>
        <w:tabs>
          <w:tab w:val="left" w:pos="1134"/>
        </w:tabs>
        <w:spacing w:after="80" w:line="276"/>
        <w:ind w:left="1134" w:hanging="567"/>
        <w:jc w:val="both"/>
      </w:pPr>
      <w:r>
        <w:rPr>
          <w:rFonts w:ascii="Calibri" w:cs="Calibri" w:eastAsia="Calibri" w:hAnsi="Calibri"/>
          <w:sz w:val="22"/>
          <w:szCs w:val="22"/>
        </w:rPr>
        <w:t xml:space="preserve">(d)	</w:t>
      </w:r>
      <w:r>
        <w:rPr>
          <w:rFonts w:ascii="Calibri" w:cs="Calibri" w:eastAsia="Calibri" w:hAnsi="Calibri"/>
          <w:sz w:val="22"/>
          <w:szCs w:val="22"/>
        </w:rPr>
        <w:t xml:space="preserve">the documents or statements (by tender reference) relied on for each matter, and any analysis of the claims on which it intends to rely; and</w:t>
      </w:r>
    </w:p>
    <w:p>
      <w:pPr>
        <w:tabs>
          <w:tab w:val="left" w:pos="1134"/>
        </w:tabs>
        <w:spacing w:after="80" w:line="276"/>
        <w:ind w:left="1134" w:hanging="567"/>
        <w:jc w:val="both"/>
      </w:pPr>
      <w:r>
        <w:rPr>
          <w:rFonts w:ascii="Calibri" w:cs="Calibri" w:eastAsia="Calibri" w:hAnsi="Calibri"/>
          <w:sz w:val="22"/>
          <w:szCs w:val="22"/>
        </w:rPr>
        <w:t xml:space="preserve">(e)	</w:t>
      </w:r>
      <w:r>
        <w:rPr>
          <w:rFonts w:ascii="Calibri" w:cs="Calibri" w:eastAsia="Calibri" w:hAnsi="Calibri"/>
          <w:sz w:val="22"/>
          <w:szCs w:val="22"/>
        </w:rPr>
        <w:t xml:space="preserve">each witness it intends to call, and each statement on which it intends to rely without calling its maker.</w:t>
      </w:r>
    </w:p>
    <w:p>
      <w:pPr>
        <w:tabs>
          <w:tab w:val="left" w:pos="567"/>
        </w:tabs>
        <w:spacing w:after="120" w:line="276"/>
        <w:ind w:left="567" w:hanging="567"/>
        <w:jc w:val="both"/>
      </w:pPr>
      <w:r>
        <w:rPr>
          <w:rFonts w:ascii="Calibri" w:cs="Calibri" w:eastAsia="Calibri" w:hAnsi="Calibri"/>
          <w:sz w:val="22"/>
          <w:szCs w:val="22"/>
        </w:rPr>
        <w:t xml:space="preserve">D6.	</w:t>
      </w:r>
      <w:r>
        <w:rPr>
          <w:rFonts w:ascii="Calibri" w:cs="Calibri" w:eastAsia="Calibri" w:hAnsi="Calibri"/>
          <w:b/>
          <w:bCs/>
          <w:sz w:val="22"/>
          <w:szCs w:val="22"/>
        </w:rPr>
        <w:t xml:space="preserve">Notice of further matters. </w:t>
      </w:r>
      <w:r>
        <w:rPr>
          <w:rFonts w:ascii="Calibri" w:cs="Calibri" w:eastAsia="Calibri" w:hAnsi="Calibri"/>
          <w:sz w:val="22"/>
          <w:szCs w:val="22"/>
        </w:rPr>
        <w:t xml:space="preserve">If the Respondent seeks to rely at the hearing on any allegation not identified under direction D5, it give written notice identifying the allegation and the evidence relied on, and the Third Applicant have a reasonable opportunity to respond.</w:t>
      </w:r>
    </w:p>
    <w:p>
      <w:pPr>
        <w:tabs>
          <w:tab w:val="left" w:pos="567"/>
        </w:tabs>
        <w:spacing w:after="120" w:line="276"/>
        <w:ind w:left="567" w:hanging="567"/>
        <w:jc w:val="both"/>
      </w:pPr>
      <w:r>
        <w:rPr>
          <w:rFonts w:ascii="Calibri" w:cs="Calibri" w:eastAsia="Calibri" w:hAnsi="Calibri"/>
          <w:sz w:val="22"/>
          <w:szCs w:val="22"/>
        </w:rPr>
        <w:t xml:space="preserve">D7.	</w:t>
      </w:r>
      <w:r>
        <w:rPr>
          <w:rFonts w:ascii="Calibri" w:cs="Calibri" w:eastAsia="Calibri" w:hAnsi="Calibri"/>
          <w:b/>
          <w:bCs/>
          <w:sz w:val="22"/>
          <w:szCs w:val="22"/>
        </w:rPr>
        <w:t xml:space="preserve">SFIC and evidence. </w:t>
      </w:r>
      <w:r>
        <w:rPr>
          <w:rFonts w:ascii="Calibri" w:cs="Calibri" w:eastAsia="Calibri" w:hAnsi="Calibri"/>
          <w:sz w:val="22"/>
          <w:szCs w:val="22"/>
        </w:rPr>
        <w:t xml:space="preserve">The Third Applicant file and serve an updated SFIC and any evidence on which it elects to rely within 28 days after service of the supplementary tender bundle and the statement under direction D5.</w:t>
      </w:r>
    </w:p>
    <w:p>
      <w:pPr>
        <w:tabs>
          <w:tab w:val="left" w:pos="567"/>
        </w:tabs>
        <w:spacing w:after="120" w:line="276"/>
        <w:ind w:left="567" w:hanging="567"/>
        <w:jc w:val="both"/>
      </w:pPr>
      <w:r>
        <w:rPr>
          <w:rFonts w:ascii="Calibri" w:cs="Calibri" w:eastAsia="Calibri" w:hAnsi="Calibri"/>
          <w:sz w:val="22"/>
          <w:szCs w:val="22"/>
        </w:rPr>
        <w:t xml:space="preserve">D8.	</w:t>
      </w:r>
      <w:r>
        <w:rPr>
          <w:rFonts w:ascii="Calibri" w:cs="Calibri" w:eastAsia="Calibri" w:hAnsi="Calibri"/>
          <w:b/>
          <w:bCs/>
          <w:sz w:val="22"/>
          <w:szCs w:val="22"/>
        </w:rPr>
        <w:t xml:space="preserve">Respondent's SFIC and evidence. </w:t>
      </w:r>
      <w:r>
        <w:rPr>
          <w:rFonts w:ascii="Calibri" w:cs="Calibri" w:eastAsia="Calibri" w:hAnsi="Calibri"/>
          <w:sz w:val="22"/>
          <w:szCs w:val="22"/>
        </w:rPr>
        <w:t xml:space="preserve">The Respondent file and serve its SFIC and any further evidence in respect of the Third Applicant within 28 days after the date fixed under direction D7.</w:t>
      </w:r>
    </w:p>
    <w:p>
      <w:pPr>
        <w:tabs>
          <w:tab w:val="left" w:pos="567"/>
        </w:tabs>
        <w:spacing w:after="120" w:line="276"/>
        <w:ind w:left="567" w:hanging="567"/>
        <w:jc w:val="both"/>
      </w:pPr>
      <w:r>
        <w:rPr>
          <w:rFonts w:ascii="Calibri" w:cs="Calibri" w:eastAsia="Calibri" w:hAnsi="Calibri"/>
          <w:sz w:val="22"/>
          <w:szCs w:val="22"/>
        </w:rPr>
        <w:t xml:space="preserve">D9.	</w:t>
      </w:r>
      <w:r>
        <w:rPr>
          <w:rFonts w:ascii="Calibri" w:cs="Calibri" w:eastAsia="Calibri" w:hAnsi="Calibri"/>
          <w:b/>
          <w:bCs/>
          <w:sz w:val="22"/>
          <w:szCs w:val="22"/>
        </w:rPr>
        <w:t xml:space="preserve">Reply. </w:t>
      </w:r>
      <w:r>
        <w:rPr>
          <w:rFonts w:ascii="Calibri" w:cs="Calibri" w:eastAsia="Calibri" w:hAnsi="Calibri"/>
          <w:sz w:val="22"/>
          <w:szCs w:val="22"/>
        </w:rPr>
        <w:t xml:space="preserve">The Third Applicant file and serve any reply within 14 days after service of the Respondent's SFIC and evidence under direction D8.</w:t>
      </w:r>
    </w:p>
    <w:p>
      <w:pPr>
        <w:tabs>
          <w:tab w:val="left" w:pos="567"/>
        </w:tabs>
        <w:spacing w:after="120" w:line="276"/>
        <w:ind w:left="567" w:hanging="567"/>
        <w:jc w:val="both"/>
      </w:pPr>
      <w:r>
        <w:rPr>
          <w:rFonts w:ascii="Calibri" w:cs="Calibri" w:eastAsia="Calibri" w:hAnsi="Calibri"/>
          <w:sz w:val="22"/>
          <w:szCs w:val="22"/>
        </w:rPr>
        <w:t xml:space="preserve">D10.	</w:t>
      </w:r>
      <w:r>
        <w:rPr>
          <w:rFonts w:ascii="Calibri" w:cs="Calibri" w:eastAsia="Calibri" w:hAnsi="Calibri"/>
          <w:b/>
          <w:bCs/>
          <w:sz w:val="22"/>
          <w:szCs w:val="22"/>
        </w:rPr>
        <w:t xml:space="preserve">Witnesses. </w:t>
      </w:r>
      <w:r>
        <w:rPr>
          <w:rFonts w:ascii="Calibri" w:cs="Calibri" w:eastAsia="Calibri" w:hAnsi="Calibri"/>
          <w:sz w:val="22"/>
          <w:szCs w:val="22"/>
        </w:rPr>
        <w:t xml:space="preserve">By the date fixed under direction D9, the Third Applicant may serve a notice identifying each maker of a statement relied on by the Respondent whose attendance it seeks for questioning, and the reasons. Any dispute, and any protective arrangements for participants, be determined at a case event.</w:t>
      </w:r>
    </w:p>
    <w:p>
      <w:pPr>
        <w:tabs>
          <w:tab w:val="left" w:pos="567"/>
        </w:tabs>
        <w:spacing w:after="120" w:line="276"/>
        <w:ind w:left="567" w:hanging="567"/>
        <w:jc w:val="both"/>
      </w:pPr>
      <w:r>
        <w:rPr>
          <w:rFonts w:ascii="Calibri" w:cs="Calibri" w:eastAsia="Calibri" w:hAnsi="Calibri"/>
          <w:sz w:val="22"/>
          <w:szCs w:val="22"/>
        </w:rPr>
        <w:t xml:space="preserve">D11.	</w:t>
      </w:r>
      <w:r>
        <w:rPr>
          <w:rFonts w:ascii="Calibri" w:cs="Calibri" w:eastAsia="Calibri" w:hAnsi="Calibri"/>
          <w:b/>
          <w:bCs/>
          <w:sz w:val="22"/>
          <w:szCs w:val="22"/>
        </w:rPr>
        <w:t xml:space="preserve">Listing. </w:t>
      </w:r>
      <w:r>
        <w:rPr>
          <w:rFonts w:ascii="Calibri" w:cs="Calibri" w:eastAsia="Calibri" w:hAnsi="Calibri"/>
          <w:sz w:val="22"/>
          <w:szCs w:val="22"/>
        </w:rPr>
        <w:t xml:space="preserve">At the directions hearing, the matters be provisionally listed for final hearing on the first available date after the date fixed under direction D9, the hearing estimate to be confirmed at a short case event after direction D10, taking account of witnesses and interpreter arrangements.</w:t>
      </w:r>
    </w:p>
    <w:p>
      <w:pPr>
        <w:tabs>
          <w:tab w:val="left" w:pos="567"/>
        </w:tabs>
        <w:spacing w:after="120" w:line="276"/>
        <w:ind w:left="567" w:hanging="567"/>
        <w:jc w:val="both"/>
      </w:pPr>
      <w:r>
        <w:rPr>
          <w:rFonts w:ascii="Calibri" w:cs="Calibri" w:eastAsia="Calibri" w:hAnsi="Calibri"/>
          <w:sz w:val="22"/>
          <w:szCs w:val="22"/>
        </w:rPr>
        <w:t xml:space="preserve">D12.	</w:t>
      </w:r>
      <w:r>
        <w:rPr>
          <w:rFonts w:ascii="Calibri" w:cs="Calibri" w:eastAsia="Calibri" w:hAnsi="Calibri"/>
          <w:b/>
          <w:bCs/>
          <w:sz w:val="22"/>
          <w:szCs w:val="22"/>
        </w:rPr>
        <w:t xml:space="preserve">Alternative. </w:t>
      </w:r>
      <w:r>
        <w:rPr>
          <w:rFonts w:ascii="Calibri" w:cs="Calibri" w:eastAsia="Calibri" w:hAnsi="Calibri"/>
          <w:sz w:val="22"/>
          <w:szCs w:val="22"/>
        </w:rPr>
        <w:t xml:space="preserve">If the Tribunal does not make direction D5, the Third Applicant's SFIC and evidence be due 28 days after service of the supplementary tender bundle, and the Respondent's SFIC under direction D8 identify the matters listed in direction D5.</w:t>
      </w:r>
    </w:p>
    <w:p>
      <w:pPr>
        <w:tabs>
          <w:tab w:val="left" w:pos="567"/>
        </w:tabs>
        <w:spacing w:after="120" w:line="276"/>
        <w:ind w:left="567" w:hanging="567"/>
        <w:jc w:val="both"/>
      </w:pPr>
      <w:r>
        <w:rPr>
          <w:rFonts w:ascii="Calibri" w:cs="Calibri" w:eastAsia="Calibri" w:hAnsi="Calibri"/>
          <w:sz w:val="22"/>
          <w:szCs w:val="22"/>
        </w:rPr>
        <w:t xml:space="preserve">D13.	</w:t>
      </w:r>
      <w:r>
        <w:rPr>
          <w:rFonts w:ascii="Calibri" w:cs="Calibri" w:eastAsia="Calibri" w:hAnsi="Calibri"/>
          <w:b/>
          <w:bCs/>
          <w:sz w:val="22"/>
          <w:szCs w:val="22"/>
        </w:rPr>
        <w:t xml:space="preserve">Previous directions. </w:t>
      </w:r>
      <w:r>
        <w:rPr>
          <w:rFonts w:ascii="Calibri" w:cs="Calibri" w:eastAsia="Calibri" w:hAnsi="Calibri"/>
          <w:sz w:val="22"/>
          <w:szCs w:val="22"/>
        </w:rPr>
        <w:t xml:space="preserve">Any timetabling direction made before 31 July 2026 that remains in force be vacated.</w:t>
      </w:r>
    </w:p>
    <w:p>
      <w:pPr>
        <w:tabs>
          <w:tab w:val="left" w:pos="567"/>
        </w:tabs>
        <w:spacing w:after="120" w:line="276"/>
        <w:ind w:left="567" w:hanging="567"/>
        <w:jc w:val="both"/>
      </w:pPr>
      <w:r>
        <w:rPr>
          <w:rFonts w:ascii="Calibri" w:cs="Calibri" w:eastAsia="Calibri" w:hAnsi="Calibri"/>
          <w:sz w:val="22"/>
          <w:szCs w:val="22"/>
        </w:rPr>
        <w:t xml:space="preserve">D14.	</w:t>
      </w:r>
      <w:r>
        <w:rPr>
          <w:rFonts w:ascii="Calibri" w:cs="Calibri" w:eastAsia="Calibri" w:hAnsi="Calibri"/>
          <w:b/>
          <w:bCs/>
          <w:sz w:val="22"/>
          <w:szCs w:val="22"/>
        </w:rPr>
        <w:t xml:space="preserve">Liberty to apply </w:t>
      </w:r>
      <w:r>
        <w:rPr>
          <w:rFonts w:ascii="Calibri" w:cs="Calibri" w:eastAsia="Calibri" w:hAnsi="Calibri"/>
          <w:sz w:val="22"/>
          <w:szCs w:val="22"/>
        </w:rPr>
        <w:t xml:space="preserve">on reasonable notice, including for the issue of summonses under section 74 of the ART Act.</w:t>
      </w:r>
    </w:p>
    <w:p>
      <w:pPr>
        <w:spacing w:before="480"/>
      </w:pPr>
      <w:r>
        <w:rPr>
          <w:rFonts w:ascii="Calibri" w:cs="Calibri" w:eastAsia="Calibri" w:hAnsi="Calibri"/>
          <w:sz w:val="22"/>
          <w:szCs w:val="22"/>
        </w:rPr>
        <w:t xml:space="preserve">Dated: ______________________ 2026</w:t>
      </w:r>
    </w:p>
    <w:p>
      <w:pPr>
        <w:spacing w:before="600"/>
      </w:pPr>
      <w:r>
        <w:rPr>
          <w:rFonts w:ascii="Calibri" w:cs="Calibri" w:eastAsia="Calibri" w:hAnsi="Calibri"/>
          <w:sz w:val="22"/>
          <w:szCs w:val="22"/>
        </w:rPr>
        <w:t xml:space="preserve">________________________________</w:t>
      </w:r>
    </w:p>
    <w:p>
      <w:r>
        <w:rPr>
          <w:rFonts w:ascii="Calibri" w:cs="Calibri" w:eastAsia="Calibri" w:hAnsi="Calibri"/>
          <w:b/>
          <w:bCs/>
          <w:sz w:val="22"/>
          <w:szCs w:val="22"/>
        </w:rPr>
        <w:t xml:space="preserve">Simon Reid</w:t>
      </w:r>
    </w:p>
    <w:p>
      <w:r>
        <w:rPr>
          <w:rFonts w:ascii="Calibri" w:cs="Calibri" w:eastAsia="Calibri" w:hAnsi="Calibri"/>
          <w:sz w:val="22"/>
          <w:szCs w:val="22"/>
        </w:rPr>
        <w:t xml:space="preserve">Director, for and on behalf of the Third Applicant, Forward Focused Group Pty Ltd</w:t>
      </w:r>
    </w:p>
    <w:sectPr>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2026-09-27T02:00:49.808Z</dcterms:created>
  <dcterms:modified xsi:type="dcterms:W3CDTF">2026-09-27T02:00:49.808Z</dcterms:modified>
</cp:coreProperties>
</file>

<file path=docProps/custom.xml><?xml version="1.0" encoding="utf-8"?>
<Properties xmlns="http://schemas.openxmlformats.org/officeDocument/2006/custom-properties" xmlns:vt="http://schemas.openxmlformats.org/officeDocument/2006/docPropsVTypes"/>
</file>