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557"/>
          <w:sz w:val="32"/>
          <w:szCs w:val="32"/>
        </w:rPr>
        <w:t xml:space="preserve">FIXED-FEE ENGAGEMENT REQUEST — COMPLIANCE CHECK AND LODGEMENT ONLY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No merits or strategy advice sought — document formalities, lodgement and service only. Prepared 27 July 2026. Paste the email below; no attachment needed.</w:t>
      </w:r>
    </w:p>
    <w:p>
      <w:pPr>
        <w:pBdr>
          <w:bottom w:val="single" w:color="BFBFBF" w:sz="6"/>
        </w:pBdr>
        <w:spacing w:after="200" w:before="60"/>
      </w:pP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Subject: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Fixed-fee limited-scope engagement — Federal Court document compliance check and lodgement (WA Registry)</w:t>
      </w:r>
    </w:p>
    <w:p>
      <w:pPr>
        <w:spacing w:after="16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Dear [name],</w:t>
      </w:r>
    </w:p>
    <w:p>
      <w:pPr>
        <w:spacing w:after="16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 am self-represented in a proposed Federal Court proceeding in the WA Registry (an application under s 39B of the Judiciary Act 1903 against a Commonwealth statutory office holder; two individual applicants). The documents are already prepared. I am not seeking advice on merits, prospects or strategy — that is in hand. I am seeking a Federal Court-experienced litigation solicitor for a small fixed-fee engagement limited to four items:</w:t>
      </w:r>
    </w:p>
    <w:p>
      <w:pPr>
        <w:pStyle w:val="ListParagraph"/>
        <w:numPr>
          <w:ilvl w:val="0"/>
          <w:numId w:val="2"/>
        </w:numPr>
        <w:spacing w:after="16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Compliance check.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Review the lodgement pack — originating application (Form 69), statement of claim, supporting affidavits and Form 16 genuine steps statement, approximately 40–50 pages — for formal compliance with the Federal Court Rules 2011 and registry practice: correct form and headings, party naming, signing and dating blocks, affidavit formalities and annexure certificates, pagination and exhibit references. Output: a short written list of required corrections, or confirmation there are none.</w:t>
      </w:r>
    </w:p>
    <w:p>
      <w:pPr>
        <w:pStyle w:val="ListParagraph"/>
        <w:numPr>
          <w:ilvl w:val="0"/>
          <w:numId w:val="2"/>
        </w:numPr>
        <w:spacing w:after="16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Witnessing.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Witness the affidavits at your office once finalised.</w:t>
      </w:r>
    </w:p>
    <w:p>
      <w:pPr>
        <w:pStyle w:val="ListParagraph"/>
        <w:numPr>
          <w:ilvl w:val="0"/>
          <w:numId w:val="2"/>
        </w:numPr>
        <w:spacing w:after="16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Lodgement.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Lodge the pack via eLodgment (or supervise my lodgement), deal with any registry requisition on formal grounds, and provide sealed copies. The filing fee ($1,805) is paid by the applicants directly.</w:t>
      </w:r>
    </w:p>
    <w:p>
      <w:pPr>
        <w:pStyle w:val="ListParagraph"/>
        <w:numPr>
          <w:ilvl w:val="0"/>
          <w:numId w:val="2"/>
        </w:numPr>
        <w:spacing w:after="16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Service.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Effect service on the respondent (a Commonwealth respondent; the Australian Government Solicitor, Perth, is expected to accept service) and provide proof of service.</w:t>
      </w:r>
    </w:p>
    <w:p>
      <w:pPr>
        <w:spacing w:after="16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applicants remain self-represented and your firm would not go on the record. The costs agreement can record that no advice on merits or prospects is sought or given; I am happy to sign your standard limited-scope acknowledgment.</w:t>
      </w:r>
    </w:p>
    <w:p>
      <w:pPr>
        <w:spacing w:after="16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Please quote a single fixed fee (GST inclusive) for items 1–4 together, any disbursements, who would do the work, and earliest availability. If a registry requisition raises a substantive rather than formal issue, that would be a separate written quote — no work beyond items 1–4 without my prior written approval.</w:t>
      </w:r>
    </w:p>
    <w:p>
      <w:pPr>
        <w:spacing w:after="16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If fixed-fee work of this kind is not something you take on, a short “no” is fine and saves us both time.</w:t>
      </w:r>
    </w:p>
    <w:p>
      <w:pPr>
        <w:spacing w:after="16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Regards</w:t>
      </w:r>
    </w:p>
    <w:p>
      <w:pPr>
        <w:spacing w:after="16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Simon Reid</w:t>
      </w:r>
    </w:p>
    <w:p>
      <w:pPr>
        <w:spacing w:after="24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[phone] · [email]</w:t>
      </w:r>
    </w:p>
    <w:p>
      <w:pPr>
        <w:pBdr>
          <w:bottom w:val="single" w:color="BFBFBF" w:sz="6"/>
        </w:pBdr>
        <w:spacing w:after="200" w:before="6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557"/>
          <w:sz w:val="24"/>
          <w:szCs w:val="24"/>
        </w:rPr>
        <w:t xml:space="preserve">Notes to self (do not send)</w:t>
      </w:r>
    </w:p>
    <w:p>
      <w:pPr>
        <w:pStyle w:val="ListParagraph"/>
        <w:numPr>
          <w:ilvl w:val="0"/>
          <w:numId w:val="3"/>
        </w:numPr>
        <w:spacing w:after="16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Fair price for items 1–4: $1,500–$4,000 incl GST. Over $5,000: wrong firm. Payment on completion, not upfront.</w:t>
      </w:r>
    </w:p>
    <w:p>
      <w:pPr>
        <w:pStyle w:val="ListParagraph"/>
        <w:numPr>
          <w:ilvl w:val="0"/>
          <w:numId w:val="3"/>
        </w:numPr>
        <w:spacing w:after="16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Filter: small litigation firm or sole practitioner who actually files in the Federal Court — not a conveyancing/wills practice. Law Society of WA referral service can supply names.</w:t>
      </w:r>
    </w:p>
    <w:p>
      <w:pPr>
        <w:pStyle w:val="ListParagraph"/>
        <w:numPr>
          <w:ilvl w:val="0"/>
          <w:numId w:val="3"/>
        </w:numPr>
        <w:spacing w:after="16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Before sending documents: their conflict check (Commonwealth/NDIS Commission/NDIA/AGS-instructed work).</w:t>
      </w:r>
    </w:p>
    <w:p>
      <w:pPr>
        <w:pStyle w:val="ListParagraph"/>
        <w:numPr>
          <w:ilvl w:val="0"/>
          <w:numId w:val="3"/>
        </w:numPr>
        <w:spacing w:after="16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Affidavit content exposure (intention to recharge on the record): either strip affidavits to bare document-exhibiting, or separate one-hour criminal-lawyer review of affidavit content only — keep this OUT of this engagement and this email.</w:t>
      </w:r>
    </w:p>
    <w:p>
      <w:pPr>
        <w:pStyle w:val="ListParagraph"/>
        <w:numPr>
          <w:ilvl w:val="0"/>
          <w:numId w:val="3"/>
        </w:numPr>
        <w:spacing w:after="16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Sealed-copy wording check (the settling schedule gate) stays with me — not part of this scope.</w:t>
      </w:r>
    </w:p>
    <w:sectPr>
      <w:pgSz w:w="11906" w:h="16838" w:orient="portrait"/>
      <w:pgMar w:top="110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4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2026-07-27T04:59:45.000Z</dcterms:created>
  <dcterms:modified xsi:type="dcterms:W3CDTF">2026-07-27T04:59:45.000Z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