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557"/>
          <w:sz w:val="32"/>
          <w:szCs w:val="32"/>
        </w:rPr>
        <w:t xml:space="preserve">FIXED-FEE ENGAGEMENT REQUEST — COMPLIANCE CHECK AND LODGEMENT ONLY (v3)</w:t>
      </w:r>
    </w:p>
    <w:p>
      <w:pPr>
        <w:spacing w:after="120" w:line="276"/>
      </w:pPr>
      <w:r>
        <w:rPr>
          <w:rFonts w:ascii="Calibri" w:cs="Calibri" w:eastAsia="Calibri" w:hAnsi="Calibri"/>
          <w:i/>
          <w:iCs/>
          <w:color w:val="595959"/>
          <w:sz w:val="22"/>
          <w:szCs w:val="22"/>
        </w:rPr>
        <w:t xml:space="preserve">No merits or strategy advice sought — document formalities, lodgement and service only. Deponents are not in Perth; all contact by email/video. Supersedes v2. Prepared 27 July 2026.</w:t>
      </w:r>
    </w:p>
    <w:p>
      <w:pPr>
        <w:pBdr>
          <w:bottom w:val="single" w:color="BFBFBF" w:sz="6"/>
        </w:pBdr>
        <w:spacing w:after="200" w:before="60"/>
      </w:pPr>
    </w:p>
    <w:p>
      <w:pPr>
        <w:spacing w:after="160" w:line="276"/>
      </w:pPr>
      <w:r>
        <w:rPr>
          <w:rFonts w:ascii="Calibri" w:cs="Calibri" w:eastAsia="Calibri" w:hAnsi="Calibri"/>
          <w:b/>
          <w:bCs/>
          <w:color w:val="000000"/>
          <w:sz w:val="22"/>
          <w:szCs w:val="22"/>
        </w:rPr>
        <w:t xml:space="preserve">Subject: </w:t>
      </w:r>
      <w:r>
        <w:rPr>
          <w:rFonts w:ascii="Calibri" w:cs="Calibri" w:eastAsia="Calibri" w:hAnsi="Calibri"/>
          <w:color w:val="000000"/>
          <w:sz w:val="22"/>
          <w:szCs w:val="22"/>
        </w:rPr>
        <w:t xml:space="preserve">Fixed-fee limited-scope engagement — Federal Court document compliance check and lodgement (WA Registry) — clients not in WA</w:t>
      </w:r>
    </w:p>
    <w:p>
      <w:pPr>
        <w:spacing w:after="160" w:line="276"/>
      </w:pPr>
      <w:r>
        <w:rPr>
          <w:rFonts w:ascii="Calibri" w:cs="Calibri" w:eastAsia="Calibri" w:hAnsi="Calibri"/>
          <w:color w:val="000000"/>
          <w:sz w:val="22"/>
          <w:szCs w:val="22"/>
        </w:rPr>
        <w:t xml:space="preserve">Dear [name],</w:t>
      </w:r>
    </w:p>
    <w:p>
      <w:pPr>
        <w:spacing w:after="160" w:line="276"/>
      </w:pPr>
      <w:r>
        <w:rPr>
          <w:rFonts w:ascii="Calibri" w:cs="Calibri" w:eastAsia="Calibri" w:hAnsi="Calibri"/>
          <w:color w:val="000000"/>
          <w:sz w:val="22"/>
          <w:szCs w:val="22"/>
        </w:rPr>
        <w:t xml:space="preserve">I am self-represented in a proposed Federal Court proceeding in the WA Registry (an application under s 39B of the Judiciary Act 1903 against a Commonwealth statutory office holder; two individual applicants). The documents are already prepared. I am not seeking advice on merits, prospects or strategy — that is in hand. Neither applicant is currently in Western Australia, so the engagement would run entirely by email and video, with documents exchanged electronically. I am seeking a Federal Court-experienced litigation solicitor for a small fixed-fee engagement limited to four items:</w:t>
      </w:r>
    </w:p>
    <w:p>
      <w:pPr>
        <w:pStyle w:val="ListParagraph"/>
        <w:numPr>
          <w:ilvl w:val="0"/>
          <w:numId w:val="2"/>
        </w:numPr>
        <w:spacing w:after="160" w:line="276"/>
      </w:pPr>
      <w:r>
        <w:rPr>
          <w:rFonts w:ascii="Calibri" w:cs="Calibri" w:eastAsia="Calibri" w:hAnsi="Calibri"/>
          <w:b/>
          <w:bCs/>
          <w:color w:val="000000"/>
          <w:sz w:val="22"/>
          <w:szCs w:val="22"/>
        </w:rPr>
        <w:t xml:space="preserve">Compliance check. </w:t>
      </w:r>
      <w:r>
        <w:rPr>
          <w:rFonts w:ascii="Calibri" w:cs="Calibri" w:eastAsia="Calibri" w:hAnsi="Calibri"/>
          <w:color w:val="000000"/>
          <w:sz w:val="22"/>
          <w:szCs w:val="22"/>
        </w:rPr>
        <w:t xml:space="preserve">Review the lodgement pack — originating application (Form 69), statement of claim, supporting affidavits and Form 16 genuine steps statement, approximately 40–50 pages — for formal compliance with the Federal Court Rules 2011 and registry practice: correct form and headings, party naming, signing and dating blocks, affidavit formalities and annexure certificates, pagination and exhibit references. Output: a short written list of required corrections, or confirmation there are none.</w:t>
      </w:r>
    </w:p>
    <w:p>
      <w:pPr>
        <w:pStyle w:val="ListParagraph"/>
        <w:numPr>
          <w:ilvl w:val="0"/>
          <w:numId w:val="2"/>
        </w:numPr>
        <w:spacing w:after="160" w:line="276"/>
      </w:pPr>
      <w:r>
        <w:rPr>
          <w:rFonts w:ascii="Calibri" w:cs="Calibri" w:eastAsia="Calibri" w:hAnsi="Calibri"/>
          <w:b/>
          <w:bCs/>
          <w:color w:val="000000"/>
          <w:sz w:val="22"/>
          <w:szCs w:val="22"/>
        </w:rPr>
        <w:t xml:space="preserve">Witnessing instructions (deponents outside WA). </w:t>
      </w:r>
      <w:r>
        <w:rPr>
          <w:rFonts w:ascii="Calibri" w:cs="Calibri" w:eastAsia="Calibri" w:hAnsi="Calibri"/>
          <w:color w:val="000000"/>
          <w:sz w:val="22"/>
          <w:szCs w:val="22"/>
        </w:rPr>
        <w:t xml:space="preserve">Provide written swearing instructions for each affidavit — jurat wording, binding/initialling of pages, annexure certificates, and any translation or identification requirements — suitable for execution before an authorised witness where each deponent is located: for a deponent overseas, an Australian consular officer (the Australian Consulate-General, Denpasar, administers oaths and affirmations on Australian affidavits by appointment) or, if you advise it is acceptable, a local notary public; for a deponent elsewhere in Australia, an Australian lawyer or justice of the peace locally. On return of the sworn documents, confirm the executed affidavits are in order for filing, and advise whether the Court will accept scanned sworn copies via eLodgment with originals retained.</w:t>
      </w:r>
    </w:p>
    <w:p>
      <w:pPr>
        <w:pStyle w:val="ListParagraph"/>
        <w:numPr>
          <w:ilvl w:val="0"/>
          <w:numId w:val="2"/>
        </w:numPr>
        <w:spacing w:after="160" w:line="276"/>
      </w:pPr>
      <w:r>
        <w:rPr>
          <w:rFonts w:ascii="Calibri" w:cs="Calibri" w:eastAsia="Calibri" w:hAnsi="Calibri"/>
          <w:b/>
          <w:bCs/>
          <w:color w:val="000000"/>
          <w:sz w:val="22"/>
          <w:szCs w:val="22"/>
        </w:rPr>
        <w:t xml:space="preserve">Lodgement. </w:t>
      </w:r>
      <w:r>
        <w:rPr>
          <w:rFonts w:ascii="Calibri" w:cs="Calibri" w:eastAsia="Calibri" w:hAnsi="Calibri"/>
          <w:color w:val="000000"/>
          <w:sz w:val="22"/>
          <w:szCs w:val="22"/>
        </w:rPr>
        <w:t xml:space="preserve">Lodge the pack via eLodgment, deal with any registry requisition on formal grounds, and provide sealed copies. The filing fee ($1,805) is paid by the applicants directly.</w:t>
      </w:r>
    </w:p>
    <w:p>
      <w:pPr>
        <w:pStyle w:val="ListParagraph"/>
        <w:numPr>
          <w:ilvl w:val="0"/>
          <w:numId w:val="2"/>
        </w:numPr>
        <w:spacing w:after="160" w:line="276"/>
      </w:pPr>
      <w:r>
        <w:rPr>
          <w:rFonts w:ascii="Calibri" w:cs="Calibri" w:eastAsia="Calibri" w:hAnsi="Calibri"/>
          <w:b/>
          <w:bCs/>
          <w:color w:val="000000"/>
          <w:sz w:val="22"/>
          <w:szCs w:val="22"/>
        </w:rPr>
        <w:t xml:space="preserve">Service. </w:t>
      </w:r>
      <w:r>
        <w:rPr>
          <w:rFonts w:ascii="Calibri" w:cs="Calibri" w:eastAsia="Calibri" w:hAnsi="Calibri"/>
          <w:color w:val="000000"/>
          <w:sz w:val="22"/>
          <w:szCs w:val="22"/>
        </w:rPr>
        <w:t xml:space="preserve">Effect service on the respondent (a Commonwealth respondent; the Australian Government Solicitor, Perth, is expected to accept service) and provide proof of service.</w:t>
      </w:r>
    </w:p>
    <w:p>
      <w:pPr>
        <w:spacing w:after="160" w:line="276"/>
      </w:pPr>
      <w:r>
        <w:rPr>
          <w:rFonts w:ascii="Calibri" w:cs="Calibri" w:eastAsia="Calibri" w:hAnsi="Calibri"/>
          <w:color w:val="000000"/>
          <w:sz w:val="22"/>
          <w:szCs w:val="22"/>
        </w:rPr>
        <w:t xml:space="preserve">The applicants remain self-represented and your firm would not go on the record. The costs agreement can record that no advice on merits or prospects is sought or given; I am happy to sign your standard limited-scope acknowledgment. If it assists at the first case management hearing, we would seek the Court’s leave to appear by video link; arranging that request can be quoted as an optional fifth item.</w:t>
      </w:r>
    </w:p>
    <w:p>
      <w:pPr>
        <w:spacing w:after="160" w:line="276"/>
      </w:pPr>
      <w:r>
        <w:rPr>
          <w:rFonts w:ascii="Calibri" w:cs="Calibri" w:eastAsia="Calibri" w:hAnsi="Calibri"/>
          <w:color w:val="000000"/>
          <w:sz w:val="22"/>
          <w:szCs w:val="22"/>
        </w:rPr>
        <w:t xml:space="preserve">Please quote a single fixed fee (GST inclusive) for items 1–4 together (and the optional item 5 separately), any disbursements, who would do the work, and earliest availability. If a registry requisition raises a substantive rather than formal issue, that would be a separate written quote — no work beyond the quoted items without my prior written approval.</w:t>
      </w:r>
    </w:p>
    <w:p>
      <w:pPr>
        <w:spacing w:after="160" w:line="276"/>
      </w:pPr>
      <w:r>
        <w:rPr>
          <w:rFonts w:ascii="Calibri" w:cs="Calibri" w:eastAsia="Calibri" w:hAnsi="Calibri"/>
          <w:color w:val="000000"/>
          <w:sz w:val="22"/>
          <w:szCs w:val="22"/>
        </w:rPr>
        <w:t xml:space="preserve">If fixed-fee work of this kind is not something you take on, a short “no” is fine and saves us both time.</w:t>
      </w:r>
    </w:p>
    <w:p>
      <w:pPr>
        <w:spacing w:after="160" w:line="276"/>
      </w:pPr>
      <w:r>
        <w:rPr>
          <w:rFonts w:ascii="Calibri" w:cs="Calibri" w:eastAsia="Calibri" w:hAnsi="Calibri"/>
          <w:color w:val="000000"/>
          <w:sz w:val="22"/>
          <w:szCs w:val="22"/>
        </w:rPr>
        <w:t xml:space="preserve">Regards</w:t>
      </w:r>
    </w:p>
    <w:p>
      <w:pPr>
        <w:spacing w:after="160" w:line="276"/>
      </w:pPr>
      <w:r>
        <w:rPr>
          <w:rFonts w:ascii="Calibri" w:cs="Calibri" w:eastAsia="Calibri" w:hAnsi="Calibri"/>
          <w:color w:val="000000"/>
          <w:sz w:val="22"/>
          <w:szCs w:val="22"/>
        </w:rPr>
        <w:t xml:space="preserve">Simon Reid</w:t>
      </w:r>
    </w:p>
    <w:p>
      <w:pPr>
        <w:spacing w:after="240" w:line="276"/>
      </w:pPr>
      <w:r>
        <w:rPr>
          <w:rFonts w:ascii="Calibri" w:cs="Calibri" w:eastAsia="Calibri" w:hAnsi="Calibri"/>
          <w:color w:val="000000"/>
          <w:sz w:val="22"/>
          <w:szCs w:val="22"/>
        </w:rPr>
        <w:t xml:space="preserve">[phone] · [email]</w:t>
      </w:r>
    </w:p>
    <w:p>
      <w:pPr>
        <w:pBdr>
          <w:bottom w:val="single" w:color="BFBFBF" w:sz="6"/>
        </w:pBdr>
        <w:spacing w:after="200" w:before="60"/>
      </w:pPr>
    </w:p>
    <w:p>
      <w:pPr>
        <w:pStyle w:val="Heading2"/>
        <w:spacing w:after="120" w:before="260"/>
      </w:pPr>
      <w:r>
        <w:rPr>
          <w:rFonts w:ascii="Calibri" w:cs="Calibri" w:eastAsia="Calibri" w:hAnsi="Calibri"/>
          <w:b/>
          <w:bCs/>
          <w:color w:val="1F3557"/>
          <w:sz w:val="24"/>
          <w:szCs w:val="24"/>
        </w:rPr>
        <w:t xml:space="preserve">Notes to self (do not send)</w:t>
      </w:r>
    </w:p>
    <w:p>
      <w:pPr>
        <w:pStyle w:val="ListParagraph"/>
        <w:numPr>
          <w:ilvl w:val="0"/>
          <w:numId w:val="3"/>
        </w:numPr>
        <w:spacing w:after="160" w:line="276"/>
      </w:pPr>
      <w:r>
        <w:rPr>
          <w:rFonts w:ascii="Calibri" w:cs="Calibri" w:eastAsia="Calibri" w:hAnsi="Calibri"/>
          <w:color w:val="000000"/>
          <w:sz w:val="22"/>
          <w:szCs w:val="22"/>
        </w:rPr>
        <w:t xml:space="preserve">Fair price items 1–4: $1,500–$4,500 incl GST (slightly above v2 for the witnessing-instructions work). Over $5,500: wrong firm. Payment on completion.</w:t>
      </w:r>
    </w:p>
    <w:p>
      <w:pPr>
        <w:pStyle w:val="ListParagraph"/>
        <w:numPr>
          <w:ilvl w:val="0"/>
          <w:numId w:val="3"/>
        </w:numPr>
        <w:spacing w:after="160" w:line="276"/>
      </w:pPr>
      <w:r>
        <w:rPr>
          <w:rFonts w:ascii="Calibri" w:cs="Calibri" w:eastAsia="Calibri" w:hAnsi="Calibri"/>
          <w:color w:val="000000"/>
          <w:sz w:val="22"/>
          <w:szCs w:val="22"/>
        </w:rPr>
        <w:t xml:space="preserve">Swearing in Bali: Australian Consulate-General, Denpasar — book notarial appointment online; A$80 per oath/affirmation per deponent (DFAT fee list; confirm current fee at booking). Bring passports + unsigned affidavits + the solicitor’s written instructions. Do NOT sign in advance — sign in front of the consular officer.</w:t>
      </w:r>
    </w:p>
    <w:p>
      <w:pPr>
        <w:pStyle w:val="ListParagraph"/>
        <w:numPr>
          <w:ilvl w:val="0"/>
          <w:numId w:val="3"/>
        </w:numPr>
        <w:spacing w:after="160" w:line="276"/>
      </w:pPr>
      <w:r>
        <w:rPr>
          <w:rFonts w:ascii="Calibri" w:cs="Calibri" w:eastAsia="Calibri" w:hAnsi="Calibri"/>
          <w:color w:val="000000"/>
          <w:sz w:val="22"/>
          <w:szCs w:val="22"/>
        </w:rPr>
        <w:t xml:space="preserve">DFAT guidance expressly says the lawyer should give clear instructions on what they need in and on the affidavit — that is item 2. Multi-page affidavits are bound by the consulate; solicitor to confirm binding is acceptable to the FCA registry.</w:t>
      </w:r>
    </w:p>
    <w:p>
      <w:pPr>
        <w:pStyle w:val="ListParagraph"/>
        <w:numPr>
          <w:ilvl w:val="0"/>
          <w:numId w:val="3"/>
        </w:numPr>
        <w:spacing w:after="160" w:line="276"/>
      </w:pPr>
      <w:r>
        <w:rPr>
          <w:rFonts w:ascii="Calibri" w:cs="Calibri" w:eastAsia="Calibri" w:hAnsi="Calibri"/>
          <w:color w:val="000000"/>
          <w:sz w:val="22"/>
          <w:szCs w:val="22"/>
        </w:rPr>
        <w:t xml:space="preserve">Remote AV witnessing by an Australian lawyer: fallback ONLY if the solicitor confirms current Federal Court acceptance in writing — COVID-era special measures were revoked; do not build the plan on it.</w:t>
      </w:r>
    </w:p>
    <w:p>
      <w:pPr>
        <w:pStyle w:val="ListParagraph"/>
        <w:numPr>
          <w:ilvl w:val="0"/>
          <w:numId w:val="3"/>
        </w:numPr>
        <w:spacing w:after="160" w:line="276"/>
      </w:pPr>
      <w:r>
        <w:rPr>
          <w:rFonts w:ascii="Calibri" w:cs="Calibri" w:eastAsia="Calibri" w:hAnsi="Calibri"/>
          <w:color w:val="000000"/>
          <w:sz w:val="22"/>
          <w:szCs w:val="22"/>
        </w:rPr>
        <w:t xml:space="preserve">Vida: if she is in Australia (not WA), any Australian lawyer or JP where she is can witness — no Perth trip. Criminal-lawyer content review of her affidavit BEFORE any swearing appointment.</w:t>
      </w:r>
    </w:p>
    <w:p>
      <w:pPr>
        <w:pStyle w:val="ListParagraph"/>
        <w:numPr>
          <w:ilvl w:val="0"/>
          <w:numId w:val="3"/>
        </w:numPr>
        <w:spacing w:after="160" w:line="276"/>
      </w:pPr>
      <w:r>
        <w:rPr>
          <w:rFonts w:ascii="Calibri" w:cs="Calibri" w:eastAsia="Calibri" w:hAnsi="Calibri"/>
          <w:color w:val="000000"/>
          <w:sz w:val="22"/>
          <w:szCs w:val="22"/>
        </w:rPr>
        <w:t xml:space="preserve">Filter: small litigation firm/sole practitioner who actually files in the FCA. Law Society of WA referral service. Conflict check before sending documents.</w:t>
      </w:r>
    </w:p>
    <w:p>
      <w:pPr>
        <w:pStyle w:val="ListParagraph"/>
        <w:numPr>
          <w:ilvl w:val="0"/>
          <w:numId w:val="3"/>
        </w:numPr>
        <w:spacing w:after="160" w:line="276"/>
      </w:pPr>
      <w:r>
        <w:rPr>
          <w:rFonts w:ascii="Calibri" w:cs="Calibri" w:eastAsia="Calibri" w:hAnsi="Calibri"/>
          <w:color w:val="000000"/>
          <w:sz w:val="22"/>
          <w:szCs w:val="22"/>
        </w:rPr>
        <w:t xml:space="preserve">Sealed-copy wording check stays with me — not part of this scope.</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2026-07-27T05:08:34.173Z</dcterms:created>
  <dcterms:modified xsi:type="dcterms:W3CDTF">2026-07-27T05:08:34.173Z</dcterms:modified>
</cp:coreProperties>
</file>

<file path=docProps/custom.xml><?xml version="1.0" encoding="utf-8"?>
<Properties xmlns="http://schemas.openxmlformats.org/officeDocument/2006/custom-properties" xmlns:vt="http://schemas.openxmlformats.org/officeDocument/2006/docPropsVTypes"/>
</file>