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color w:val="C00000"/>
          <w:sz w:val="16"/>
          <w:szCs w:val="16"/>
        </w:rPr>
        <w:t xml:space="preserve">PRIVILEGED &amp; CONFIDENTIAL — PREPARED FOR THE PURPOSE OF LITIGATION</w:t>
      </w:r>
    </w:p>
    <w:p>
      <w:pPr>
        <w:spacing w:after="60"/>
      </w:pPr>
      <w:r>
        <w:rPr>
          <w:rFonts w:ascii="Calibri" w:cs="Calibri" w:eastAsia="Calibri" w:hAnsi="Calibri"/>
          <w:b/>
          <w:bCs/>
          <w:color w:val="1F3864"/>
          <w:sz w:val="36"/>
          <w:szCs w:val="36"/>
        </w:rPr>
        <w:t xml:space="preserve">Defence Strategy: Proof of Delivery</w:t>
      </w:r>
    </w:p>
    <w:p>
      <w:pPr>
        <w:spacing w:after="100" w:line="264"/>
      </w:pPr>
      <w:r>
        <w:rPr>
          <w:rFonts w:ascii="Calibri" w:cs="Calibri" w:eastAsia="Calibri" w:hAnsi="Calibri"/>
          <w:i/>
          <w:iCs/>
          <w:sz w:val="21"/>
          <w:szCs w:val="21"/>
        </w:rPr>
        <w:t xml:space="preserve">Reid, Reid &amp; FFG v Commissioner of the NDIS Quality and Safeguards Commission — ART 2023/3361, 2023/3363, 2023/4494. </w:t>
      </w:r>
      <w:r>
        <w:rPr>
          <w:rFonts w:ascii="Calibri" w:cs="Calibri" w:eastAsia="Calibri" w:hAnsi="Calibri"/>
          <w:i/>
          <w:iCs/>
          <w:sz w:val="21"/>
          <w:szCs w:val="21"/>
        </w:rPr>
        <w:t xml:space="preserve">Working document, 25 September 2026. Companion files: Proof_of_Delivery_Matrix_25_Sep_2026.xlsx; Holes_in_Commission_Case_25_Sep_2026.md; Chronology (timeline_events).</w:t>
      </w:r>
    </w:p>
    <w:p>
      <w:pPr>
        <w:pStyle w:val="Heading1"/>
        <w:spacing w:after="120" w:before="240"/>
      </w:pPr>
      <w:r>
        <w:rPr>
          <w:rFonts w:ascii="Calibri" w:cs="Calibri" w:eastAsia="Calibri" w:hAnsi="Calibri"/>
          <w:b/>
          <w:bCs/>
          <w:color w:val="1F3864"/>
          <w:sz w:val="26"/>
          <w:szCs w:val="26"/>
        </w:rPr>
        <w:t xml:space="preserve">1. Bottom line</w:t>
      </w:r>
    </w:p>
    <w:p>
      <w:pPr>
        <w:pStyle w:val="ListParagraph"/>
        <w:numPr>
          <w:ilvl w:val="0"/>
          <w:numId w:val="2"/>
        </w:numPr>
        <w:spacing w:after="60" w:line="252"/>
      </w:pPr>
      <w:r>
        <w:rPr>
          <w:rFonts w:ascii="Calibri" w:cs="Calibri" w:eastAsia="Calibri" w:hAnsi="Calibri"/>
          <w:b/>
          <w:bCs/>
          <w:sz w:val="21"/>
          <w:szCs w:val="21"/>
        </w:rPr>
        <w:t xml:space="preserve">The Commission's case is a claims case. </w:t>
      </w:r>
      <w:r>
        <w:rPr>
          <w:rFonts w:ascii="Calibri" w:cs="Calibri" w:eastAsia="Calibri" w:hAnsi="Calibri"/>
          <w:sz w:val="21"/>
          <w:szCs w:val="21"/>
        </w:rPr>
        <w:t xml:space="preserve">Its core allegation is that FFG and Hybrid billed participants' plans for supports that were not delivered. Every other theme (aggressive billing, unauthorised invoices, 'strategic' circumvention) hangs off that.</w:t>
      </w:r>
    </w:p>
    <w:p>
      <w:pPr>
        <w:pStyle w:val="ListParagraph"/>
        <w:numPr>
          <w:ilvl w:val="0"/>
          <w:numId w:val="2"/>
        </w:numPr>
        <w:spacing w:after="60" w:line="252"/>
      </w:pPr>
      <w:r>
        <w:rPr>
          <w:rFonts w:ascii="Calibri" w:cs="Calibri" w:eastAsia="Calibri" w:hAnsi="Calibri"/>
          <w:b/>
          <w:bCs/>
          <w:sz w:val="21"/>
          <w:szCs w:val="21"/>
        </w:rPr>
        <w:t xml:space="preserve">Its evidence is 33 witness statements taken for the NDIA's criminal investigation (most headed 'R v Vida Reid'), </w:t>
      </w:r>
      <w:r>
        <w:rPr>
          <w:rFonts w:ascii="Calibri" w:cs="Calibri" w:eastAsia="Calibri" w:hAnsi="Calibri"/>
          <w:sz w:val="21"/>
          <w:szCs w:val="21"/>
        </w:rPr>
        <w:t xml:space="preserve">summarised in Attachment M. None was taken to test delivery against rosters, pay records or invoices. The NDIA itself records that invoices were lodged by 'an unknown person using FFG software Xero'.</w:t>
      </w:r>
    </w:p>
    <w:p>
      <w:pPr>
        <w:pStyle w:val="ListParagraph"/>
        <w:numPr>
          <w:ilvl w:val="0"/>
          <w:numId w:val="2"/>
        </w:numPr>
        <w:spacing w:after="60" w:line="252"/>
      </w:pPr>
      <w:r>
        <w:rPr>
          <w:rFonts w:ascii="Calibri" w:cs="Calibri" w:eastAsia="Calibri" w:hAnsi="Calibri"/>
          <w:b/>
          <w:bCs/>
          <w:sz w:val="21"/>
          <w:szCs w:val="21"/>
        </w:rPr>
        <w:t xml:space="preserve">The witnesses admit a great deal was delivered. </w:t>
      </w:r>
      <w:r>
        <w:rPr>
          <w:rFonts w:ascii="Calibri" w:cs="Calibri" w:eastAsia="Calibri" w:hAnsi="Calibri"/>
          <w:sz w:val="21"/>
          <w:szCs w:val="21"/>
        </w:rPr>
        <w:t xml:space="preserve">Across the 27 participant/nominee statements there are 114 admitted services (support workers, coordination, STA stays, therapy, cruises, equipment). Of 157 disputed items, many are disputes about hours, dates, price, or which company billed — not about whether anything was delivered.</w:t>
      </w:r>
    </w:p>
    <w:p>
      <w:pPr>
        <w:pStyle w:val="ListParagraph"/>
        <w:numPr>
          <w:ilvl w:val="0"/>
          <w:numId w:val="2"/>
        </w:numPr>
        <w:spacing w:after="60" w:line="252"/>
      </w:pPr>
      <w:r>
        <w:rPr>
          <w:rFonts w:ascii="Calibri" w:cs="Calibri" w:eastAsia="Calibri" w:hAnsi="Calibri"/>
          <w:b/>
          <w:bCs/>
          <w:sz w:val="21"/>
          <w:szCs w:val="21"/>
        </w:rPr>
        <w:t xml:space="preserve">Step one is to prove delivery with records, participant by participant, invoice by invoice. </w:t>
      </w:r>
      <w:r>
        <w:rPr>
          <w:rFonts w:ascii="Calibri" w:cs="Calibri" w:eastAsia="Calibri" w:hAnsi="Calibri"/>
          <w:sz w:val="21"/>
          <w:szCs w:val="21"/>
        </w:rPr>
        <w:t xml:space="preserve">Denials carry no weight with this Tribunal; documents do. The winning structure is the 'delivery triangle' for each disputed claim: invoice ↔ roster/shift note ↔ worker pay record (plus any participant acknowledgement).</w:t>
      </w:r>
    </w:p>
    <w:p>
      <w:pPr>
        <w:pStyle w:val="ListParagraph"/>
        <w:numPr>
          <w:ilvl w:val="0"/>
          <w:numId w:val="2"/>
        </w:numPr>
        <w:spacing w:after="60" w:line="252"/>
      </w:pPr>
      <w:r>
        <w:rPr>
          <w:rFonts w:ascii="Calibri" w:cs="Calibri" w:eastAsia="Calibri" w:hAnsi="Calibri"/>
          <w:b/>
          <w:bCs/>
          <w:sz w:val="21"/>
          <w:szCs w:val="21"/>
        </w:rPr>
        <w:t xml:space="preserve">For Simon, the case is narrow: </w:t>
      </w:r>
      <w:r>
        <w:rPr>
          <w:rFonts w:ascii="Calibri" w:cs="Calibri" w:eastAsia="Calibri" w:hAnsi="Calibri"/>
          <w:sz w:val="21"/>
          <w:szCs w:val="21"/>
        </w:rPr>
        <w:t xml:space="preserve">only Hybrid claims dated on or after 17 February 2022 can touch him, and even then only through directorship, not any personal act. Tier 1 below is ~10 participants. That is the work that decides his matter.</w:t>
      </w:r>
    </w:p>
    <w:p>
      <w:pPr>
        <w:pStyle w:val="Heading1"/>
        <w:spacing w:after="120" w:before="240"/>
      </w:pPr>
      <w:r>
        <w:rPr>
          <w:rFonts w:ascii="Calibri" w:cs="Calibri" w:eastAsia="Calibri" w:hAnsi="Calibri"/>
          <w:b/>
          <w:bCs/>
          <w:color w:val="1F3864"/>
          <w:sz w:val="26"/>
          <w:szCs w:val="26"/>
        </w:rPr>
        <w:t xml:space="preserve">2. Theory of the case</w:t>
      </w:r>
    </w:p>
    <w:p>
      <w:pPr>
        <w:pStyle w:val="Heading2"/>
        <w:spacing w:after="80" w:before="180"/>
      </w:pPr>
      <w:r>
        <w:rPr>
          <w:rFonts w:ascii="Calibri" w:cs="Calibri" w:eastAsia="Calibri" w:hAnsi="Calibri"/>
          <w:b/>
          <w:bCs/>
          <w:sz w:val="22"/>
          <w:szCs w:val="22"/>
        </w:rPr>
        <w:t xml:space="preserve">Simon (2023/3363)</w:t>
      </w:r>
    </w:p>
    <w:p>
      <w:pPr>
        <w:pStyle w:val="ListParagraph"/>
        <w:numPr>
          <w:ilvl w:val="0"/>
          <w:numId w:val="2"/>
        </w:numPr>
        <w:spacing w:after="60" w:line="252"/>
      </w:pPr>
      <w:r>
        <w:rPr>
          <w:rFonts w:ascii="Calibri" w:cs="Calibri" w:eastAsia="Calibri" w:hAnsi="Calibri"/>
          <w:sz w:val="21"/>
          <w:szCs w:val="21"/>
        </w:rPr>
        <w:t xml:space="preserve">He did no billing. He never created an invoice. Invoicing and claims were run by the accounts team under the CFO (a CPA). The Commission alleges no personal act, and its own source document cannot say who lodged the claims.</w:t>
      </w:r>
    </w:p>
    <w:p>
      <w:pPr>
        <w:pStyle w:val="ListParagraph"/>
        <w:numPr>
          <w:ilvl w:val="0"/>
          <w:numId w:val="2"/>
        </w:numPr>
        <w:spacing w:after="60" w:line="252"/>
      </w:pPr>
      <w:r>
        <w:rPr>
          <w:rFonts w:ascii="Calibri" w:cs="Calibri" w:eastAsia="Calibri" w:hAnsi="Calibri"/>
          <w:sz w:val="21"/>
          <w:szCs w:val="21"/>
        </w:rPr>
        <w:t xml:space="preserve">Services were delivered. For the Hybrid claims in his directorship window, the records show who worked, when, and that they were paid.</w:t>
      </w:r>
    </w:p>
    <w:p>
      <w:pPr>
        <w:pStyle w:val="ListParagraph"/>
        <w:numPr>
          <w:ilvl w:val="0"/>
          <w:numId w:val="2"/>
        </w:numPr>
        <w:spacing w:after="60" w:line="252"/>
      </w:pPr>
      <w:r>
        <w:rPr>
          <w:rFonts w:ascii="Calibri" w:cs="Calibri" w:eastAsia="Calibri" w:hAnsi="Calibri"/>
          <w:sz w:val="21"/>
          <w:szCs w:val="21"/>
        </w:rPr>
        <w:t xml:space="preserve">When irregularities surfaced (late Sep 2022) he acted within days: lawyers engaged (29 Sep), independent audit commissioned (3 Oct), CFO removed (6 Oct) — before the NDIA raid (19 Oct).</w:t>
      </w:r>
    </w:p>
    <w:p>
      <w:pPr>
        <w:pStyle w:val="ListParagraph"/>
        <w:numPr>
          <w:ilvl w:val="0"/>
          <w:numId w:val="2"/>
        </w:numPr>
        <w:spacing w:after="60" w:line="252"/>
      </w:pPr>
      <w:r>
        <w:rPr>
          <w:rFonts w:ascii="Calibri" w:cs="Calibri" w:eastAsia="Calibri" w:hAnsi="Calibri"/>
          <w:sz w:val="21"/>
          <w:szCs w:val="21"/>
        </w:rPr>
        <w:t xml:space="preserve">He is suitable now; any order should be narrow and clearly specified (Sunflower), not 'any involvement in any capacity'.</w:t>
      </w:r>
    </w:p>
    <w:p>
      <w:pPr>
        <w:pStyle w:val="Heading2"/>
        <w:spacing w:after="80" w:before="180"/>
      </w:pPr>
      <w:r>
        <w:rPr>
          <w:rFonts w:ascii="Calibri" w:cs="Calibri" w:eastAsia="Calibri" w:hAnsi="Calibri"/>
          <w:b/>
          <w:bCs/>
          <w:sz w:val="22"/>
          <w:szCs w:val="22"/>
        </w:rPr>
        <w:t xml:space="preserve">Vida and FFG (2023/3361, 2023/4494) — separate but linked</w:t>
      </w:r>
    </w:p>
    <w:p>
      <w:pPr>
        <w:pStyle w:val="ListParagraph"/>
        <w:numPr>
          <w:ilvl w:val="0"/>
          <w:numId w:val="2"/>
        </w:numPr>
        <w:spacing w:after="60" w:line="252"/>
      </w:pPr>
      <w:r>
        <w:rPr>
          <w:rFonts w:ascii="Calibri" w:cs="Calibri" w:eastAsia="Calibri" w:hAnsi="Calibri"/>
          <w:sz w:val="21"/>
          <w:szCs w:val="21"/>
        </w:rPr>
        <w:t xml:space="preserve">Delivery was real and extensive; the disputes are overwhelmingly about quantity, dates, pricing and entity labels — billing-quality issues, not fabrication.</w:t>
      </w:r>
    </w:p>
    <w:p>
      <w:pPr>
        <w:pStyle w:val="ListParagraph"/>
        <w:numPr>
          <w:ilvl w:val="0"/>
          <w:numId w:val="2"/>
        </w:numPr>
        <w:spacing w:after="60" w:line="252"/>
      </w:pPr>
      <w:r>
        <w:rPr>
          <w:rFonts w:ascii="Calibri" w:cs="Calibri" w:eastAsia="Calibri" w:hAnsi="Calibri"/>
          <w:sz w:val="21"/>
          <w:szCs w:val="21"/>
        </w:rPr>
        <w:t xml:space="preserve">Billing errors were identified and corrected in real time (e.g. Cutler INV-0890/0891 called a clerical error and being corrected; Bott mis-keyed plan number; invoices put on hold).</w:t>
      </w:r>
    </w:p>
    <w:p>
      <w:pPr>
        <w:pStyle w:val="ListParagraph"/>
        <w:numPr>
          <w:ilvl w:val="0"/>
          <w:numId w:val="2"/>
        </w:numPr>
        <w:spacing w:after="60" w:line="252"/>
      </w:pPr>
      <w:r>
        <w:rPr>
          <w:rFonts w:ascii="Calibri" w:cs="Calibri" w:eastAsia="Calibri" w:hAnsi="Calibri"/>
          <w:sz w:val="21"/>
          <w:szCs w:val="21"/>
        </w:rPr>
        <w:t xml:space="preserve">Vida's matter carries more risk: several ex-staff attribute billing direction to her. Her evidence strategy must be settled with her own advice; nothing in Simon's evidence should assert facts about her conduct.</w:t>
      </w:r>
    </w:p>
    <w:p>
      <w:pPr>
        <w:pStyle w:val="Heading1"/>
        <w:spacing w:after="120" w:before="240"/>
      </w:pPr>
      <w:r>
        <w:rPr>
          <w:rFonts w:ascii="Calibri" w:cs="Calibri" w:eastAsia="Calibri" w:hAnsi="Calibri"/>
          <w:b/>
          <w:bCs/>
          <w:color w:val="1F3864"/>
          <w:sz w:val="26"/>
          <w:szCs w:val="26"/>
        </w:rPr>
        <w:t xml:space="preserve">3. How the Tribunal will approach it (working assumptions — verify before citing)</w:t>
      </w:r>
    </w:p>
    <w:p>
      <w:pPr>
        <w:pStyle w:val="ListParagraph"/>
        <w:numPr>
          <w:ilvl w:val="0"/>
          <w:numId w:val="2"/>
        </w:numPr>
        <w:spacing w:after="60" w:line="252"/>
      </w:pPr>
      <w:r>
        <w:rPr>
          <w:rFonts w:ascii="Calibri" w:cs="Calibri" w:eastAsia="Calibri" w:hAnsi="Calibri"/>
          <w:sz w:val="21"/>
          <w:szCs w:val="21"/>
        </w:rPr>
        <w:t xml:space="preserve">De novo merits review: the Tribunal stands in the decision-maker's shoes and decides present suitability on the material before it.</w:t>
      </w:r>
    </w:p>
    <w:p>
      <w:pPr>
        <w:pStyle w:val="ListParagraph"/>
        <w:numPr>
          <w:ilvl w:val="0"/>
          <w:numId w:val="2"/>
        </w:numPr>
        <w:spacing w:after="60" w:line="252"/>
      </w:pPr>
      <w:r>
        <w:rPr>
          <w:rFonts w:ascii="Calibri" w:cs="Calibri" w:eastAsia="Calibri" w:hAnsi="Calibri"/>
          <w:sz w:val="21"/>
          <w:szCs w:val="21"/>
        </w:rPr>
        <w:t xml:space="preserve">Allegations of fraud are serious; the Tribunal will want cogent, specific evidence before finding them. [Research point: confirm the applicable standard/authorities before citing any case.]</w:t>
      </w:r>
    </w:p>
    <w:p>
      <w:pPr>
        <w:pStyle w:val="ListParagraph"/>
        <w:numPr>
          <w:ilvl w:val="0"/>
          <w:numId w:val="2"/>
        </w:numPr>
        <w:spacing w:after="60" w:line="252"/>
      </w:pPr>
      <w:r>
        <w:rPr>
          <w:rFonts w:ascii="Calibri" w:cs="Calibri" w:eastAsia="Calibri" w:hAnsi="Calibri"/>
          <w:sz w:val="21"/>
          <w:szCs w:val="21"/>
        </w:rPr>
        <w:t xml:space="preserve">Untested hearsay statements can be received but their weight depends on reliability. Statements prepared for a prosecution that was dismissed, and that are internally inconsistent, carry less weight — particularly when contradicted by records.</w:t>
      </w:r>
    </w:p>
    <w:p>
      <w:pPr>
        <w:pStyle w:val="ListParagraph"/>
        <w:numPr>
          <w:ilvl w:val="0"/>
          <w:numId w:val="2"/>
        </w:numPr>
        <w:spacing w:after="60" w:line="252"/>
      </w:pPr>
      <w:r>
        <w:rPr>
          <w:rFonts w:ascii="Calibri" w:cs="Calibri" w:eastAsia="Calibri" w:hAnsi="Calibri"/>
          <w:sz w:val="21"/>
          <w:szCs w:val="21"/>
        </w:rPr>
        <w:t xml:space="preserve">The member weighs unchallenged evidence as established. Every disputed claim we care about must be answered in writing.</w:t>
      </w:r>
    </w:p>
    <w:p>
      <w:pPr>
        <w:pStyle w:val="Heading1"/>
        <w:spacing w:after="120" w:before="240"/>
      </w:pPr>
      <w:r>
        <w:rPr>
          <w:rFonts w:ascii="Calibri" w:cs="Calibri" w:eastAsia="Calibri" w:hAnsi="Calibri"/>
          <w:b/>
          <w:bCs/>
          <w:color w:val="1F3864"/>
          <w:sz w:val="26"/>
          <w:szCs w:val="26"/>
        </w:rPr>
        <w:t xml:space="preserve">4. What the witness evidence actually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000"/>
        <w:gridCol w:w="30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Dispute type (as the witness frames it)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Count</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Our answer</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Not delivered at 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96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Witness says the service never happened. Often 'I don't recall' or based on the investigator's claims list, not own records.</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Rosters, shift notes, pay records, third-party invoices (hotels, therapists). Test each against the witness's own admissions.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Hours / quantity disputed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Something was delivered; the witness says less than billed.</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Rosters and timesheets for the dates. At worst an overbilling correction, not fraud.</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Unauthorised / unknown provider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Witness didn't know Hybrid/The Hive (e.g. 'never heard of Hybrid').</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Service agreements/consents; show Hybrid staff delivered under an FFG-coordinated arrangement; plan-manager approvals.</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Wrong dates / backdating</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Service happened on a different date, or invoice issued later.</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Shift notes show actual dates; late invoicing is an admin issue.</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Price / tax</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Rate or GST dispute.</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NDIS price guide at the time; correction history.</w:t>
            </w:r>
          </w:p>
        </w:tc>
      </w:tr>
      <w:tr>
        <w:trPr>
          <w:tblHeader w:val="false"/>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Other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21</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Mixed (e.g. 2:1 vs 1:1 support, cancellation fees).</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Case by case.</w:t>
            </w:r>
          </w:p>
        </w:tc>
      </w:tr>
    </w:tbl>
    <w:p>
      <w:pPr>
        <w:spacing w:after="100" w:line="264"/>
      </w:pPr>
      <w:r>
        <w:rPr>
          <w:rFonts w:ascii="Calibri" w:cs="Calibri" w:eastAsia="Calibri" w:hAnsi="Calibri"/>
          <w:i/>
          <w:iCs/>
          <w:sz w:val="18"/>
          <w:szCs w:val="18"/>
        </w:rPr>
        <w:t xml:space="preserve">Counts are from OCR of the 27 participant/nominee statements; verify against the PDFs before relying on any figure.</w:t>
      </w:r>
    </w:p>
    <w:p>
      <w:pPr>
        <w:pStyle w:val="Heading2"/>
        <w:spacing w:after="80" w:before="180"/>
      </w:pPr>
      <w:r>
        <w:rPr>
          <w:rFonts w:ascii="Calibri" w:cs="Calibri" w:eastAsia="Calibri" w:hAnsi="Calibri"/>
          <w:b/>
          <w:bCs/>
          <w:sz w:val="22"/>
          <w:szCs w:val="22"/>
        </w:rPr>
        <w:t xml:space="preserve">Strong points already in the statements</w:t>
      </w:r>
    </w:p>
    <w:p>
      <w:pPr>
        <w:pStyle w:val="ListParagraph"/>
        <w:numPr>
          <w:ilvl w:val="0"/>
          <w:numId w:val="2"/>
        </w:numPr>
        <w:spacing w:after="60" w:line="252"/>
      </w:pPr>
      <w:r>
        <w:rPr>
          <w:rFonts w:ascii="Calibri" w:cs="Calibri" w:eastAsia="Calibri" w:hAnsi="Calibri"/>
          <w:sz w:val="21"/>
          <w:szCs w:val="21"/>
        </w:rPr>
        <w:t xml:space="preserve">Admissions of delivery in almost every statement (Sheet 3 of the matrix): e.g. Goodwin (psychologist weekly, carers, two Clipper Inn STA stays), Trantham (daily FFG/Hybrid workers from April 2022, respite, Moore River retreat), Shapiera (Hybrid self-care, transport, community access, counselling — 'extremely happy'), Clulow (Hybrid personal care and community access Jan–Jun 2022, hotel stays), Yvonne Harrison (workers Tue/Thu/Fri, gardener), Haidar (warm 19 Aug 2022 thank-you emails).</w:t>
      </w:r>
    </w:p>
    <w:p>
      <w:pPr>
        <w:pStyle w:val="ListParagraph"/>
        <w:numPr>
          <w:ilvl w:val="0"/>
          <w:numId w:val="2"/>
        </w:numPr>
        <w:spacing w:after="60" w:line="252"/>
      </w:pPr>
      <w:r>
        <w:rPr>
          <w:rFonts w:ascii="Calibri" w:cs="Calibri" w:eastAsia="Calibri" w:hAnsi="Calibri"/>
          <w:sz w:val="21"/>
          <w:szCs w:val="21"/>
        </w:rPr>
        <w:t xml:space="preserve">Entity confusion: several witnesses cannot distinguish FFG, The Hive and Hybrid ('FFG or The Hive'). Their 'never heard of Hybrid' is not evidence that nothing was delivered.</w:t>
      </w:r>
    </w:p>
    <w:p>
      <w:pPr>
        <w:pStyle w:val="ListParagraph"/>
        <w:numPr>
          <w:ilvl w:val="0"/>
          <w:numId w:val="2"/>
        </w:numPr>
        <w:spacing w:after="60" w:line="252"/>
      </w:pPr>
      <w:r>
        <w:rPr>
          <w:rFonts w:ascii="Calibri" w:cs="Calibri" w:eastAsia="Calibri" w:hAnsi="Calibri"/>
          <w:sz w:val="21"/>
          <w:szCs w:val="21"/>
        </w:rPr>
        <w:t xml:space="preserve">Investigator prompting: many disputes are answers to a list of claims read to the witness ('Tim JARRATT has told me…'). Test what the witness knew independently.</w:t>
      </w:r>
    </w:p>
    <w:p>
      <w:pPr>
        <w:pStyle w:val="ListParagraph"/>
        <w:numPr>
          <w:ilvl w:val="0"/>
          <w:numId w:val="2"/>
        </w:numPr>
        <w:spacing w:after="60" w:line="252"/>
      </w:pPr>
      <w:r>
        <w:rPr>
          <w:rFonts w:ascii="Calibri" w:cs="Calibri" w:eastAsia="Calibri" w:hAnsi="Calibri"/>
          <w:sz w:val="21"/>
          <w:szCs w:val="21"/>
        </w:rPr>
        <w:t xml:space="preserve">Nobody attributes any billing act to Simon. Ex-staff (Danica Hall, Janine Hall) say invoices were raised by accounts staff/Rejaul at Vida's direction.</w:t>
      </w:r>
    </w:p>
    <w:p>
      <w:pPr>
        <w:pStyle w:val="Heading2"/>
        <w:spacing w:after="80" w:before="180"/>
      </w:pPr>
      <w:r>
        <w:rPr>
          <w:rFonts w:ascii="Calibri" w:cs="Calibri" w:eastAsia="Calibri" w:hAnsi="Calibri"/>
          <w:b/>
          <w:bCs/>
          <w:sz w:val="22"/>
          <w:szCs w:val="22"/>
        </w:rPr>
        <w:t xml:space="preserve">Weak points to plan for</w:t>
      </w:r>
    </w:p>
    <w:p>
      <w:pPr>
        <w:pStyle w:val="ListParagraph"/>
        <w:numPr>
          <w:ilvl w:val="0"/>
          <w:numId w:val="2"/>
        </w:numPr>
        <w:spacing w:after="60" w:line="252"/>
      </w:pPr>
      <w:r>
        <w:rPr>
          <w:rFonts w:ascii="Calibri" w:cs="Calibri" w:eastAsia="Calibri" w:hAnsi="Calibri"/>
          <w:sz w:val="21"/>
          <w:szCs w:val="21"/>
        </w:rPr>
        <w:t xml:space="preserve">Benediktsson: seven Hybrid invoices for services 28 Mar–12 Jul 2022 (~$48k), squarely in Simon's window; says he received nothing from Hybrid; Simon was his recovery coach. Needs full rosters/pay proof.</w:t>
      </w:r>
    </w:p>
    <w:p>
      <w:pPr>
        <w:pStyle w:val="ListParagraph"/>
        <w:numPr>
          <w:ilvl w:val="0"/>
          <w:numId w:val="2"/>
        </w:numPr>
        <w:spacing w:after="60" w:line="252"/>
      </w:pPr>
      <w:r>
        <w:rPr>
          <w:rFonts w:ascii="Calibri" w:cs="Calibri" w:eastAsia="Calibri" w:hAnsi="Calibri"/>
          <w:sz w:val="21"/>
          <w:szCs w:val="21"/>
        </w:rPr>
        <w:t xml:space="preserve">Charlie Harrison (Jessica Smith): Hybrid INV-1070/1073/1074, self-care and travel, 24 Mar–16 Jul 2022 (~$22.5k).</w:t>
      </w:r>
    </w:p>
    <w:p>
      <w:pPr>
        <w:pStyle w:val="ListParagraph"/>
        <w:numPr>
          <w:ilvl w:val="0"/>
          <w:numId w:val="2"/>
        </w:numPr>
        <w:spacing w:after="60" w:line="252"/>
      </w:pPr>
      <w:r>
        <w:rPr>
          <w:rFonts w:ascii="Calibri" w:cs="Calibri" w:eastAsia="Calibri" w:hAnsi="Calibri"/>
          <w:sz w:val="21"/>
          <w:szCs w:val="21"/>
        </w:rPr>
        <w:t xml:space="preserve">Janine Craig (Merina Craig): Hybrid self-care claims ~$70.6k, undated — must pin dates and delivery.</w:t>
      </w:r>
    </w:p>
    <w:p>
      <w:pPr>
        <w:pStyle w:val="ListParagraph"/>
        <w:numPr>
          <w:ilvl w:val="0"/>
          <w:numId w:val="2"/>
        </w:numPr>
        <w:spacing w:after="60" w:line="252"/>
      </w:pPr>
      <w:r>
        <w:rPr>
          <w:rFonts w:ascii="Calibri" w:cs="Calibri" w:eastAsia="Calibri" w:hAnsi="Calibri"/>
          <w:sz w:val="21"/>
          <w:szCs w:val="21"/>
        </w:rPr>
        <w:t xml:space="preserve">Haidar: Hybrid invoices ~Apr 2022 (Janine Hall annexures) with service periods Feb–Apr 2022.</w:t>
      </w:r>
    </w:p>
    <w:p>
      <w:pPr>
        <w:pStyle w:val="ListParagraph"/>
        <w:numPr>
          <w:ilvl w:val="0"/>
          <w:numId w:val="2"/>
        </w:numPr>
        <w:spacing w:after="60" w:line="252"/>
      </w:pPr>
      <w:r>
        <w:rPr>
          <w:rFonts w:ascii="Calibri" w:cs="Calibri" w:eastAsia="Calibri" w:hAnsi="Calibri"/>
          <w:sz w:val="21"/>
          <w:szCs w:val="21"/>
        </w:rPr>
        <w:t xml:space="preserve">Staff statements (Danica Hall, Janine Hall, Leah Norman, Terri Roberts) allege systemic over-billing. For Simon: none alleges his involvement. For Vida: serious; needs her own response.</w:t>
      </w:r>
    </w:p>
    <w:p>
      <w:pPr>
        <w:pStyle w:val="Heading1"/>
        <w:spacing w:after="120" w:before="240"/>
      </w:pPr>
      <w:r>
        <w:rPr>
          <w:rFonts w:ascii="Calibri" w:cs="Calibri" w:eastAsia="Calibri" w:hAnsi="Calibri"/>
          <w:b/>
          <w:bCs/>
          <w:color w:val="1F3864"/>
          <w:sz w:val="26"/>
          <w:szCs w:val="26"/>
        </w:rPr>
        <w:t xml:space="preserve">5. Priority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Tier</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Participants</w:t>
            </w:r>
          </w:p>
        </w:tc>
        <w:tc>
          <w:tcPr>
            <w:tcW w:type="dxa" w:w="40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Why</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Tier 1 — decides Simon's case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Benediktsson; Charlie Harrison (J Smith); Trantham; Paul Gilbert; Haidar; Janine Craig (M Craig); Goodwin (Hybrid claims); Clulow (Hybrid portion); Yvonne Harrison (2022 hours); Hahn (Hybrid self-care); Hashimi (Danica Hall)</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Hybrid claims dated on/after 17 Feb 2022 — the only claims that can be attributed to Simon via directorship.</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Tier 2 — Vida/FFG core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Clulow (FFG); Goodwin (FFG); Wilson; Cutler; MacDonald; Odi/Taraganis; Lombard; Regali; Mulock; Crane</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Large-value FFG disputes; drive Vida/FFG findings and the 'pattern' narrative.</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Tier 3 — low value / weak</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Bott; Yavarzadeh-Tehrani; Jetoh; Pickering; Cimafranca; Teague; Hammond; Rossouw</w:t>
            </w:r>
          </w:p>
        </w:tc>
        <w:tc>
          <w:tcPr>
            <w:tcW w:type="dxa" w:w="40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Small, 2021, clerical, or no delivery allegation. Short written response only.</w:t>
            </w:r>
          </w:p>
        </w:tc>
      </w:tr>
    </w:tbl>
    <w:p>
      <w:pPr>
        <w:pStyle w:val="Heading1"/>
        <w:spacing w:after="120" w:before="240"/>
      </w:pPr>
      <w:r>
        <w:rPr>
          <w:rFonts w:ascii="Calibri" w:cs="Calibri" w:eastAsia="Calibri" w:hAnsi="Calibri"/>
          <w:b/>
          <w:bCs/>
          <w:color w:val="1F3864"/>
          <w:sz w:val="26"/>
          <w:szCs w:val="26"/>
        </w:rPr>
        <w:t xml:space="preserve">6. Evidence plan</w:t>
      </w:r>
    </w:p>
    <w:p>
      <w:pPr>
        <w:pStyle w:val="Heading2"/>
        <w:spacing w:after="80" w:before="180"/>
      </w:pPr>
      <w:r>
        <w:rPr>
          <w:rFonts w:ascii="Calibri" w:cs="Calibri" w:eastAsia="Calibri" w:hAnsi="Calibri"/>
          <w:b/>
          <w:bCs/>
          <w:sz w:val="22"/>
          <w:szCs w:val="22"/>
        </w:rPr>
        <w:t xml:space="preserve">A. Our own records (start now)</w:t>
      </w:r>
    </w:p>
    <w:p>
      <w:pPr>
        <w:pStyle w:val="ListParagraph"/>
        <w:numPr>
          <w:ilvl w:val="0"/>
          <w:numId w:val="2"/>
        </w:numPr>
        <w:spacing w:after="60" w:line="252"/>
      </w:pPr>
      <w:r>
        <w:rPr>
          <w:rFonts w:ascii="Calibri" w:cs="Calibri" w:eastAsia="Calibri" w:hAnsi="Calibri"/>
          <w:b/>
          <w:bCs/>
          <w:sz w:val="21"/>
          <w:szCs w:val="21"/>
        </w:rPr>
        <w:t xml:space="preserve">Xero (Hybrid and FFG): </w:t>
      </w:r>
      <w:r>
        <w:rPr>
          <w:rFonts w:ascii="Calibri" w:cs="Calibri" w:eastAsia="Calibri" w:hAnsi="Calibri"/>
          <w:sz w:val="21"/>
          <w:szCs w:val="21"/>
        </w:rPr>
        <w:t xml:space="preserve">invoice list and each invoice's history (creator, date) for every Tier 1 invoice. Proves who raised them and exact service periods.</w:t>
      </w:r>
    </w:p>
    <w:p>
      <w:pPr>
        <w:pStyle w:val="ListParagraph"/>
        <w:numPr>
          <w:ilvl w:val="0"/>
          <w:numId w:val="2"/>
        </w:numPr>
        <w:spacing w:after="60" w:line="252"/>
      </w:pPr>
      <w:r>
        <w:rPr>
          <w:rFonts w:ascii="Calibri" w:cs="Calibri" w:eastAsia="Calibri" w:hAnsi="Calibri"/>
          <w:b/>
          <w:bCs/>
          <w:sz w:val="21"/>
          <w:szCs w:val="21"/>
        </w:rPr>
        <w:t xml:space="preserve">Rostering / case-note system (CareView): </w:t>
      </w:r>
      <w:r>
        <w:rPr>
          <w:rFonts w:ascii="Calibri" w:cs="Calibri" w:eastAsia="Calibri" w:hAnsi="Calibri"/>
          <w:sz w:val="21"/>
          <w:szCs w:val="21"/>
        </w:rPr>
        <w:t xml:space="preserve">rosters, shift notes and case notes per participant for each disputed period. The single most important dataset.</w:t>
      </w:r>
    </w:p>
    <w:p>
      <w:pPr>
        <w:pStyle w:val="ListParagraph"/>
        <w:numPr>
          <w:ilvl w:val="0"/>
          <w:numId w:val="2"/>
        </w:numPr>
        <w:spacing w:after="60" w:line="252"/>
      </w:pPr>
      <w:r>
        <w:rPr>
          <w:rFonts w:ascii="Calibri" w:cs="Calibri" w:eastAsia="Calibri" w:hAnsi="Calibri"/>
          <w:b/>
          <w:bCs/>
          <w:sz w:val="21"/>
          <w:szCs w:val="21"/>
        </w:rPr>
        <w:t xml:space="preserve">Payroll / STP: </w:t>
      </w:r>
      <w:r>
        <w:rPr>
          <w:rFonts w:ascii="Calibri" w:cs="Calibri" w:eastAsia="Calibri" w:hAnsi="Calibri"/>
          <w:sz w:val="21"/>
          <w:szCs w:val="21"/>
        </w:rPr>
        <w:t xml:space="preserve">which workers were paid for which weeks. The ATO FOI binders already hold STP-based data for Hybrid and FFG — map pay periods against disputed claim periods.</w:t>
      </w:r>
    </w:p>
    <w:p>
      <w:pPr>
        <w:pStyle w:val="ListParagraph"/>
        <w:numPr>
          <w:ilvl w:val="0"/>
          <w:numId w:val="2"/>
        </w:numPr>
        <w:spacing w:after="60" w:line="252"/>
      </w:pPr>
      <w:r>
        <w:rPr>
          <w:rFonts w:ascii="Calibri" w:cs="Calibri" w:eastAsia="Calibri" w:hAnsi="Calibri"/>
          <w:b/>
          <w:bCs/>
          <w:sz w:val="21"/>
          <w:szCs w:val="21"/>
        </w:rPr>
        <w:t xml:space="preserve">Bank statements: </w:t>
      </w:r>
      <w:r>
        <w:rPr>
          <w:rFonts w:ascii="Calibri" w:cs="Calibri" w:eastAsia="Calibri" w:hAnsi="Calibri"/>
          <w:sz w:val="21"/>
          <w:szCs w:val="21"/>
        </w:rPr>
        <w:t xml:space="preserve">plan-manager receipts and wages out, Jan–Dec 2022, for the Hybrid ANZ and The Hive accounts.</w:t>
      </w:r>
    </w:p>
    <w:p>
      <w:pPr>
        <w:pStyle w:val="ListParagraph"/>
        <w:numPr>
          <w:ilvl w:val="0"/>
          <w:numId w:val="2"/>
        </w:numPr>
        <w:spacing w:after="60" w:line="252"/>
      </w:pPr>
      <w:r>
        <w:rPr>
          <w:rFonts w:ascii="Calibri" w:cs="Calibri" w:eastAsia="Calibri" w:hAnsi="Calibri"/>
          <w:b/>
          <w:bCs/>
          <w:sz w:val="21"/>
          <w:szCs w:val="21"/>
        </w:rPr>
        <w:t xml:space="preserve">Service agreements, consents and HelloSign audit trails </w:t>
      </w:r>
      <w:r>
        <w:rPr>
          <w:rFonts w:ascii="Calibri" w:cs="Calibri" w:eastAsia="Calibri" w:hAnsi="Calibri"/>
          <w:sz w:val="21"/>
          <w:szCs w:val="21"/>
        </w:rPr>
        <w:t xml:space="preserve">for each Tier 1–2 participant.</w:t>
      </w:r>
    </w:p>
    <w:p>
      <w:pPr>
        <w:pStyle w:val="ListParagraph"/>
        <w:numPr>
          <w:ilvl w:val="0"/>
          <w:numId w:val="2"/>
        </w:numPr>
        <w:spacing w:after="60" w:line="252"/>
      </w:pPr>
      <w:r>
        <w:rPr>
          <w:rFonts w:ascii="Calibri" w:cs="Calibri" w:eastAsia="Calibri" w:hAnsi="Calibri"/>
          <w:b/>
          <w:bCs/>
          <w:sz w:val="21"/>
          <w:szCs w:val="21"/>
        </w:rPr>
        <w:t xml:space="preserve">Emails/SMS with participants </w:t>
      </w:r>
      <w:r>
        <w:rPr>
          <w:rFonts w:ascii="Calibri" w:cs="Calibri" w:eastAsia="Calibri" w:hAnsi="Calibri"/>
          <w:sz w:val="21"/>
          <w:szCs w:val="21"/>
        </w:rPr>
        <w:t xml:space="preserve">(e.g. Haidar thank-you emails; Goodwin case notes already found).</w:t>
      </w:r>
    </w:p>
    <w:p>
      <w:pPr>
        <w:pStyle w:val="ListParagraph"/>
        <w:numPr>
          <w:ilvl w:val="0"/>
          <w:numId w:val="2"/>
        </w:numPr>
        <w:spacing w:after="60" w:line="252"/>
      </w:pPr>
      <w:r>
        <w:rPr>
          <w:rFonts w:ascii="Calibri" w:cs="Calibri" w:eastAsia="Calibri" w:hAnsi="Calibri"/>
          <w:b/>
          <w:bCs/>
          <w:sz w:val="21"/>
          <w:szCs w:val="21"/>
        </w:rPr>
        <w:t xml:space="preserve">Bennett Law pack </w:t>
      </w:r>
      <w:r>
        <w:rPr>
          <w:rFonts w:ascii="Calibri" w:cs="Calibri" w:eastAsia="Calibri" w:hAnsi="Calibri"/>
          <w:sz w:val="21"/>
          <w:szCs w:val="21"/>
        </w:rPr>
        <w:t xml:space="preserve">(Virginie statement, McGrathNicol audit, IT email): privileged — review first, decide on waiver after.</w:t>
      </w:r>
    </w:p>
    <w:p>
      <w:pPr>
        <w:pStyle w:val="Heading2"/>
        <w:spacing w:after="80" w:before="180"/>
      </w:pPr>
      <w:r>
        <w:rPr>
          <w:rFonts w:ascii="Calibri" w:cs="Calibri" w:eastAsia="Calibri" w:hAnsi="Calibri"/>
          <w:b/>
          <w:bCs/>
          <w:sz w:val="22"/>
          <w:szCs w:val="22"/>
        </w:rPr>
        <w:t xml:space="preserve">B. Third parties (request first; summons later)</w:t>
      </w:r>
    </w:p>
    <w:p>
      <w:pPr>
        <w:pStyle w:val="ListParagraph"/>
        <w:numPr>
          <w:ilvl w:val="0"/>
          <w:numId w:val="2"/>
        </w:numPr>
        <w:spacing w:after="60" w:line="252"/>
      </w:pPr>
      <w:r>
        <w:rPr>
          <w:rFonts w:ascii="Calibri" w:cs="Calibri" w:eastAsia="Calibri" w:hAnsi="Calibri"/>
          <w:sz w:val="21"/>
          <w:szCs w:val="21"/>
        </w:rPr>
        <w:t xml:space="preserve">Plan managers (Assist/Zettai, NDSP and others): invoices received, participant approvals, remittances, the 11 'suspicious invoice' reports.</w:t>
      </w:r>
    </w:p>
    <w:p>
      <w:pPr>
        <w:pStyle w:val="ListParagraph"/>
        <w:numPr>
          <w:ilvl w:val="0"/>
          <w:numId w:val="2"/>
        </w:numPr>
        <w:spacing w:after="60" w:line="252"/>
      </w:pPr>
      <w:r>
        <w:rPr>
          <w:rFonts w:ascii="Calibri" w:cs="Calibri" w:eastAsia="Calibri" w:hAnsi="Calibri"/>
          <w:sz w:val="21"/>
          <w:szCs w:val="21"/>
        </w:rPr>
        <w:t xml:space="preserve">NDIA: records seized 19 Oct 2022 (return/copies), and the claims data behind the Statement of Material Facts.</w:t>
      </w:r>
    </w:p>
    <w:p>
      <w:pPr>
        <w:pStyle w:val="ListParagraph"/>
        <w:numPr>
          <w:ilvl w:val="0"/>
          <w:numId w:val="2"/>
        </w:numPr>
        <w:spacing w:after="60" w:line="252"/>
      </w:pPr>
      <w:r>
        <w:rPr>
          <w:rFonts w:ascii="Calibri" w:cs="Calibri" w:eastAsia="Calibri" w:hAnsi="Calibri"/>
          <w:sz w:val="21"/>
          <w:szCs w:val="21"/>
        </w:rPr>
        <w:t xml:space="preserve">Hotels (Clipper Inn, Quest, Crown) and allied health (psychologists, OTs, behaviour therapists, Modplex): booking/session records.</w:t>
      </w:r>
    </w:p>
    <w:p>
      <w:pPr>
        <w:pStyle w:val="ListParagraph"/>
        <w:numPr>
          <w:ilvl w:val="0"/>
          <w:numId w:val="2"/>
        </w:numPr>
        <w:spacing w:after="60" w:line="252"/>
      </w:pPr>
      <w:r>
        <w:rPr>
          <w:rFonts w:ascii="Calibri" w:cs="Calibri" w:eastAsia="Calibri" w:hAnsi="Calibri"/>
          <w:sz w:val="21"/>
          <w:szCs w:val="21"/>
        </w:rPr>
        <w:t xml:space="preserve">Route: informal request now → s 74 ART Act summons after the Respondent particularises its case (direction 5 of v3 response).</w:t>
      </w:r>
    </w:p>
    <w:p>
      <w:pPr>
        <w:pStyle w:val="Heading2"/>
        <w:spacing w:after="80" w:before="180"/>
      </w:pPr>
      <w:r>
        <w:rPr>
          <w:rFonts w:ascii="Calibri" w:cs="Calibri" w:eastAsia="Calibri" w:hAnsi="Calibri"/>
          <w:b/>
          <w:bCs/>
          <w:sz w:val="22"/>
          <w:szCs w:val="22"/>
        </w:rPr>
        <w:t xml:space="preserve">C. Witnesses</w:t>
      </w:r>
    </w:p>
    <w:p>
      <w:pPr>
        <w:pStyle w:val="ListParagraph"/>
        <w:numPr>
          <w:ilvl w:val="0"/>
          <w:numId w:val="2"/>
        </w:numPr>
        <w:spacing w:after="60" w:line="252"/>
      </w:pPr>
      <w:r>
        <w:rPr>
          <w:rFonts w:ascii="Calibri" w:cs="Calibri" w:eastAsia="Calibri" w:hAnsi="Calibri"/>
          <w:sz w:val="21"/>
          <w:szCs w:val="21"/>
        </w:rPr>
        <w:t xml:space="preserve">Support workers and coordinators named by the participants themselves (Sheet 4 of the matrix: e.g. Donna, Ozzy, Parul, Amy Lemma, Alex Bowers, Sharyn Curr, Blake Sadler, Chloe, Luke). Short, factual statements: who they supported, when, what they did, how shifts were recorded.</w:t>
      </w:r>
    </w:p>
    <w:p>
      <w:pPr>
        <w:pStyle w:val="ListParagraph"/>
        <w:numPr>
          <w:ilvl w:val="0"/>
          <w:numId w:val="2"/>
        </w:numPr>
        <w:spacing w:after="60" w:line="252"/>
      </w:pPr>
      <w:r>
        <w:rPr>
          <w:rFonts w:ascii="Calibri" w:cs="Calibri" w:eastAsia="Calibri" w:hAnsi="Calibri"/>
          <w:sz w:val="21"/>
          <w:szCs w:val="21"/>
        </w:rPr>
        <w:t xml:space="preserve">Favourable participants: Shapiera (confirms Hybrid delivery, dealt with Simon). Consider Trantham and Haidar for the parts they admit.</w:t>
      </w:r>
    </w:p>
    <w:p>
      <w:pPr>
        <w:pStyle w:val="ListParagraph"/>
        <w:numPr>
          <w:ilvl w:val="0"/>
          <w:numId w:val="2"/>
        </w:numPr>
        <w:spacing w:after="60" w:line="252"/>
      </w:pPr>
      <w:r>
        <w:rPr>
          <w:rFonts w:ascii="Calibri" w:cs="Calibri" w:eastAsia="Calibri" w:hAnsi="Calibri"/>
          <w:sz w:val="21"/>
          <w:szCs w:val="21"/>
        </w:rPr>
        <w:t xml:space="preserve">Do not approach Commission witnesses about their evidence. Any contact with participants must be neutral and documented; take advice before contacting anyone who made a statement.</w:t>
      </w:r>
    </w:p>
    <w:p>
      <w:pPr>
        <w:pStyle w:val="Heading2"/>
        <w:spacing w:after="80" w:before="180"/>
      </w:pPr>
      <w:r>
        <w:rPr>
          <w:rFonts w:ascii="Calibri" w:cs="Calibri" w:eastAsia="Calibri" w:hAnsi="Calibri"/>
          <w:b/>
          <w:bCs/>
          <w:sz w:val="22"/>
          <w:szCs w:val="22"/>
        </w:rPr>
        <w:t xml:space="preserve">D. Simon's own statement (outline)</w:t>
      </w:r>
    </w:p>
    <w:p>
      <w:pPr>
        <w:pStyle w:val="ListParagraph"/>
        <w:numPr>
          <w:ilvl w:val="0"/>
          <w:numId w:val="2"/>
        </w:numPr>
        <w:spacing w:after="60" w:line="252"/>
      </w:pPr>
      <w:r>
        <w:rPr>
          <w:rFonts w:ascii="Calibri" w:cs="Calibri" w:eastAsia="Calibri" w:hAnsi="Calibri"/>
          <w:sz w:val="21"/>
          <w:szCs w:val="21"/>
        </w:rPr>
        <w:t xml:space="preserve">Background and roles (with exact directorship dates); what Hybrid did; staffing and systems.</w:t>
      </w:r>
    </w:p>
    <w:p>
      <w:pPr>
        <w:pStyle w:val="ListParagraph"/>
        <w:numPr>
          <w:ilvl w:val="0"/>
          <w:numId w:val="2"/>
        </w:numPr>
        <w:spacing w:after="60" w:line="252"/>
      </w:pPr>
      <w:r>
        <w:rPr>
          <w:rFonts w:ascii="Calibri" w:cs="Calibri" w:eastAsia="Calibri" w:hAnsi="Calibri"/>
          <w:sz w:val="21"/>
          <w:szCs w:val="21"/>
        </w:rPr>
        <w:t xml:space="preserve">No role in invoicing; never created an invoice; CFO/accounts team responsibilities; what reporting he received (P&amp;L summaries).</w:t>
      </w:r>
    </w:p>
    <w:p>
      <w:pPr>
        <w:pStyle w:val="ListParagraph"/>
        <w:numPr>
          <w:ilvl w:val="0"/>
          <w:numId w:val="2"/>
        </w:numPr>
        <w:spacing w:after="60" w:line="252"/>
      </w:pPr>
      <w:r>
        <w:rPr>
          <w:rFonts w:ascii="Calibri" w:cs="Calibri" w:eastAsia="Calibri" w:hAnsi="Calibri"/>
          <w:sz w:val="21"/>
          <w:szCs w:val="21"/>
        </w:rPr>
        <w:t xml:space="preserve">Tier 1 participants: what he knows first-hand (e.g. Benediktsson coaching), pointing to the records for the rest.</w:t>
      </w:r>
    </w:p>
    <w:p>
      <w:pPr>
        <w:pStyle w:val="ListParagraph"/>
        <w:numPr>
          <w:ilvl w:val="0"/>
          <w:numId w:val="2"/>
        </w:numPr>
        <w:spacing w:after="60" w:line="252"/>
      </w:pPr>
      <w:r>
        <w:rPr>
          <w:rFonts w:ascii="Calibri" w:cs="Calibri" w:eastAsia="Calibri" w:hAnsi="Calibri"/>
          <w:sz w:val="21"/>
          <w:szCs w:val="21"/>
        </w:rPr>
        <w:t xml:space="preserve">Sep–Oct 2022 response: questions to accounts, lawyers engaged, audit, CFO removed, raid.</w:t>
      </w:r>
    </w:p>
    <w:p>
      <w:pPr>
        <w:pStyle w:val="ListParagraph"/>
        <w:numPr>
          <w:ilvl w:val="0"/>
          <w:numId w:val="2"/>
        </w:numPr>
        <w:spacing w:after="60" w:line="252"/>
      </w:pPr>
      <w:r>
        <w:rPr>
          <w:rFonts w:ascii="Calibri" w:cs="Calibri" w:eastAsia="Calibri" w:hAnsi="Calibri"/>
          <w:sz w:val="21"/>
          <w:szCs w:val="21"/>
        </w:rPr>
        <w:t xml:space="preserve">Dream Big and Vitality: facts and timing.</w:t>
      </w:r>
    </w:p>
    <w:p>
      <w:pPr>
        <w:pStyle w:val="ListParagraph"/>
        <w:numPr>
          <w:ilvl w:val="0"/>
          <w:numId w:val="2"/>
        </w:numPr>
        <w:spacing w:after="60" w:line="252"/>
      </w:pPr>
      <w:r>
        <w:rPr>
          <w:rFonts w:ascii="Calibri" w:cs="Calibri" w:eastAsia="Calibri" w:hAnsi="Calibri"/>
          <w:sz w:val="21"/>
          <w:szCs w:val="21"/>
        </w:rPr>
        <w:t xml:space="preserve">Present suitability: what he would do differently; conditions he would accept.</w:t>
      </w:r>
    </w:p>
    <w:p>
      <w:pPr>
        <w:pStyle w:val="Heading1"/>
        <w:spacing w:after="120" w:before="240"/>
      </w:pPr>
      <w:r>
        <w:rPr>
          <w:rFonts w:ascii="Calibri" w:cs="Calibri" w:eastAsia="Calibri" w:hAnsi="Calibri"/>
          <w:b/>
          <w:bCs/>
          <w:color w:val="1F3864"/>
          <w:sz w:val="26"/>
          <w:szCs w:val="26"/>
        </w:rPr>
        <w:t xml:space="preserve">7. Hearing document set (applicants' bundle — proposed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Tab</w:t>
            </w:r>
          </w:p>
        </w:tc>
        <w:tc>
          <w:tcPr>
            <w:tcW w:type="dxa" w:w="79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Contents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Chronology (from the timeline_events table) and dramatis personae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Simon's statement; Vida's statement (separately settled); FFG director's statement</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Corporate records: ASIC extracts, directorship dates, service agreements, delegation/role documents for accounts team</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Proof-of-delivery schedules — one per Tier 1/2 participant: claim → roster/shift note → pay record → acknowledgement, with exhibits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E</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Support-worker and coordinator statements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F</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Third-party records (plan managers, hotels, therapists) obtained by request or summons</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G</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Sep–Oct 2022 response documents (non-privileged only unless waiver decided)</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H</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Commission documents relied on (IR, briefs, Attachment M) with our annotated errors schedule</w:t>
            </w:r>
          </w:p>
        </w:tc>
      </w:tr>
      <w:tr>
        <w:trPr>
          <w:tblHeader w:val="false"/>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I</w:t>
            </w:r>
          </w:p>
        </w:tc>
        <w:tc>
          <w:tcPr>
            <w:tcW w:type="dxa" w:w="79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Submissions: Sunflower / form of order; suitability; proposed conditions</w:t>
            </w:r>
          </w:p>
        </w:tc>
      </w:tr>
    </w:tbl>
    <w:p>
      <w:pPr>
        <w:pStyle w:val="Heading1"/>
        <w:spacing w:after="120" w:before="240"/>
      </w:pPr>
      <w:r>
        <w:rPr>
          <w:rFonts w:ascii="Calibri" w:cs="Calibri" w:eastAsia="Calibri" w:hAnsi="Calibri"/>
          <w:b/>
          <w:bCs/>
          <w:color w:val="1F3864"/>
          <w:sz w:val="26"/>
          <w:szCs w:val="26"/>
        </w:rPr>
        <w:t xml:space="preserve">8. Work plan (next 6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200"/>
        <w:gridCol w:w="25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Week</w:t>
            </w:r>
          </w:p>
        </w:tc>
        <w:tc>
          <w:tcPr>
            <w:tcW w:type="dxa" w:w="5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Task</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Output</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Recover Xero / CareView / payroll access; order 2022 bank statements; scan Bennett pack</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Access confirmed; raw data exported</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1–2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Build Tier 1 proof-of-delivery schedules (Benediktsson, C Harrison, Trantham, Gilbert first)</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 schedules in draft</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2</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Contact list for workers/coordinators; first 3–5 short statements</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Draft worker statements</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2–3</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Requests to plan managers, hotels, therapists; NDIA return-of-property request</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Letters sent</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3–4</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Remaining Tier 1 schedules; Tier 2 schedules with Vida</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All Tier 1 complete</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4–5</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Simon's statement drafted from the schedules</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Draft statement</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5–6</w:t>
            </w:r>
          </w:p>
        </w:tc>
        <w:tc>
          <w:tcPr>
            <w:tcW w:type="dxa" w:w="52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SFIC evidence section; bundle Tabs A–H assembled</w:t>
            </w:r>
          </w:p>
        </w:tc>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color w:val="000000"/>
                <w:sz w:val="18"/>
                <w:szCs w:val="18"/>
              </w:rPr>
              <w:t xml:space="preserve">Ready to file when timetable set</w:t>
            </w:r>
          </w:p>
        </w:tc>
      </w:tr>
    </w:tbl>
    <w:p>
      <w:pPr>
        <w:pStyle w:val="Heading1"/>
        <w:spacing w:after="120" w:before="240"/>
      </w:pPr>
      <w:r>
        <w:rPr>
          <w:rFonts w:ascii="Calibri" w:cs="Calibri" w:eastAsia="Calibri" w:hAnsi="Calibri"/>
          <w:b/>
          <w:bCs/>
          <w:color w:val="1F3864"/>
          <w:sz w:val="26"/>
          <w:szCs w:val="26"/>
        </w:rPr>
        <w:t xml:space="preserve">9. Risks and rules</w:t>
      </w:r>
    </w:p>
    <w:p>
      <w:pPr>
        <w:pStyle w:val="ListParagraph"/>
        <w:numPr>
          <w:ilvl w:val="0"/>
          <w:numId w:val="2"/>
        </w:numPr>
        <w:spacing w:after="60" w:line="252"/>
      </w:pPr>
      <w:r>
        <w:rPr>
          <w:rFonts w:ascii="Calibri" w:cs="Calibri" w:eastAsia="Calibri" w:hAnsi="Calibri"/>
          <w:sz w:val="21"/>
          <w:szCs w:val="21"/>
        </w:rPr>
        <w:t xml:space="preserve">Say only what the records prove. If a claim can't be supported, concede it cleanly and explain it (error, correction, refund) — a clean concession is worth more than a lost fight.</w:t>
      </w:r>
    </w:p>
    <w:p>
      <w:pPr>
        <w:pStyle w:val="ListParagraph"/>
        <w:numPr>
          <w:ilvl w:val="0"/>
          <w:numId w:val="2"/>
        </w:numPr>
        <w:spacing w:after="60" w:line="252"/>
      </w:pPr>
      <w:r>
        <w:rPr>
          <w:rFonts w:ascii="Calibri" w:cs="Calibri" w:eastAsia="Calibri" w:hAnsi="Calibri"/>
          <w:sz w:val="21"/>
          <w:szCs w:val="21"/>
        </w:rPr>
        <w:t xml:space="preserve">Rejaul is an explanation, never an accusation, unless the audit proves more.</w:t>
      </w:r>
    </w:p>
    <w:p>
      <w:pPr>
        <w:pStyle w:val="ListParagraph"/>
        <w:numPr>
          <w:ilvl w:val="0"/>
          <w:numId w:val="2"/>
        </w:numPr>
        <w:spacing w:after="60" w:line="252"/>
      </w:pPr>
      <w:r>
        <w:rPr>
          <w:rFonts w:ascii="Calibri" w:cs="Calibri" w:eastAsia="Calibri" w:hAnsi="Calibri"/>
          <w:sz w:val="21"/>
          <w:szCs w:val="21"/>
        </w:rPr>
        <w:t xml:space="preserve">Don't file privileged material (3 Oct 2022 email, Bennett correspondence) without a deliberate waiver decision.</w:t>
      </w:r>
    </w:p>
    <w:p>
      <w:pPr>
        <w:pStyle w:val="ListParagraph"/>
        <w:numPr>
          <w:ilvl w:val="0"/>
          <w:numId w:val="2"/>
        </w:numPr>
        <w:spacing w:after="60" w:line="252"/>
      </w:pPr>
      <w:r>
        <w:rPr>
          <w:rFonts w:ascii="Calibri" w:cs="Calibri" w:eastAsia="Calibri" w:hAnsi="Calibri"/>
          <w:sz w:val="21"/>
          <w:szCs w:val="21"/>
        </w:rPr>
        <w:t xml:space="preserve">Keep Simon's evidence about Simon. Nothing in it should characterise Vida's conduct.</w:t>
      </w:r>
    </w:p>
    <w:p>
      <w:pPr>
        <w:pStyle w:val="ListParagraph"/>
        <w:numPr>
          <w:ilvl w:val="0"/>
          <w:numId w:val="2"/>
        </w:numPr>
        <w:spacing w:after="60" w:line="252"/>
      </w:pPr>
      <w:r>
        <w:rPr>
          <w:rFonts w:ascii="Calibri" w:cs="Calibri" w:eastAsia="Calibri" w:hAnsi="Calibri"/>
          <w:sz w:val="21"/>
          <w:szCs w:val="21"/>
        </w:rPr>
        <w:t xml:space="preserve">OCR quotes must be checked against the original PDFs before use.</w:t>
      </w:r>
    </w:p>
    <w:p>
      <w:pPr>
        <w:pStyle w:val="ListParagraph"/>
        <w:numPr>
          <w:ilvl w:val="0"/>
          <w:numId w:val="2"/>
        </w:numPr>
        <w:spacing w:after="60" w:line="252"/>
      </w:pPr>
      <w:r>
        <w:rPr>
          <w:rFonts w:ascii="Calibri" w:cs="Calibri" w:eastAsia="Calibri" w:hAnsi="Calibri"/>
          <w:sz w:val="21"/>
          <w:szCs w:val="21"/>
        </w:rPr>
        <w:t xml:space="preserve">No case citations in any filing unless verified against primary sources.</w:t>
      </w:r>
    </w:p>
    <w:p>
      <w:pPr>
        <w:pStyle w:val="Heading1"/>
        <w:spacing w:after="120" w:before="240"/>
      </w:pPr>
      <w:r>
        <w:rPr>
          <w:rFonts w:ascii="Calibri" w:cs="Calibri" w:eastAsia="Calibri" w:hAnsi="Calibri"/>
          <w:b/>
          <w:bCs/>
          <w:color w:val="1F3864"/>
          <w:sz w:val="26"/>
          <w:szCs w:val="26"/>
        </w:rPr>
        <w:t xml:space="preserve">10. Decisions needed from you</w:t>
      </w:r>
    </w:p>
    <w:p>
      <w:pPr>
        <w:pStyle w:val="ListParagraph"/>
        <w:numPr>
          <w:ilvl w:val="0"/>
          <w:numId w:val="2"/>
        </w:numPr>
        <w:spacing w:after="60" w:line="252"/>
      </w:pPr>
      <w:r>
        <w:rPr>
          <w:rFonts w:ascii="Calibri" w:cs="Calibri" w:eastAsia="Calibri" w:hAnsi="Calibri"/>
          <w:sz w:val="21"/>
          <w:szCs w:val="21"/>
        </w:rPr>
        <w:t xml:space="preserve">Confirm which systems you can still access (Xero, CareView, payroll) and who else can (accountants, former admin).</w:t>
      </w:r>
    </w:p>
    <w:p>
      <w:pPr>
        <w:pStyle w:val="ListParagraph"/>
        <w:numPr>
          <w:ilvl w:val="0"/>
          <w:numId w:val="2"/>
        </w:numPr>
        <w:spacing w:after="60" w:line="252"/>
      </w:pPr>
      <w:r>
        <w:rPr>
          <w:rFonts w:ascii="Calibri" w:cs="Calibri" w:eastAsia="Calibri" w:hAnsi="Calibri"/>
          <w:sz w:val="21"/>
          <w:szCs w:val="21"/>
        </w:rPr>
        <w:t xml:space="preserve">Confirm Vida is running her evidence in parallel, and whether you share workers/witnesses.</w:t>
      </w:r>
    </w:p>
    <w:p>
      <w:pPr>
        <w:pStyle w:val="ListParagraph"/>
        <w:numPr>
          <w:ilvl w:val="0"/>
          <w:numId w:val="2"/>
        </w:numPr>
        <w:spacing w:after="60" w:line="252"/>
      </w:pPr>
      <w:r>
        <w:rPr>
          <w:rFonts w:ascii="Calibri" w:cs="Calibri" w:eastAsia="Calibri" w:hAnsi="Calibri"/>
          <w:sz w:val="21"/>
          <w:szCs w:val="21"/>
        </w:rPr>
        <w:t xml:space="preserve">Waiver decision on the Bennett pack — after you and I review it.</w:t>
      </w:r>
    </w:p>
    <w:p>
      <w:pPr>
        <w:pStyle w:val="ListParagraph"/>
        <w:numPr>
          <w:ilvl w:val="0"/>
          <w:numId w:val="2"/>
        </w:numPr>
        <w:spacing w:after="60" w:line="252"/>
      </w:pPr>
      <w:r>
        <w:rPr>
          <w:rFonts w:ascii="Calibri" w:cs="Calibri" w:eastAsia="Calibri" w:hAnsi="Calibri"/>
          <w:sz w:val="21"/>
          <w:szCs w:val="21"/>
        </w:rPr>
        <w:t xml:space="preserve">Whether to engage a lawyer for the hearing itself (recommended at least for witness preparation and cross-examination of ex-staff).</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2026-09-25T02:48:31.452Z</dcterms:created>
  <dcterms:modified xsi:type="dcterms:W3CDTF">2026-09-25T02:48:31.452Z</dcterms:modified>
</cp:coreProperties>
</file>

<file path=docProps/custom.xml><?xml version="1.0" encoding="utf-8"?>
<Properties xmlns="http://schemas.openxmlformats.org/officeDocument/2006/custom-properties" xmlns:vt="http://schemas.openxmlformats.org/officeDocument/2006/docPropsVTypes"/>
</file>