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C00000"/>
          <w:sz w:val="16"/>
          <w:szCs w:val="16"/>
        </w:rPr>
        <w:t xml:space="preserve">PRIVILEGED &amp; CONFIDENTIAL — PREPARED FOR THE PURPOSE OF LITIGATION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Defence Theme: Administrative Errors, Not Fraud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Simon Reid v Commissioner of the NDIS Quality and Safeguards Commission — ART 2023/3363. Working document, 26 September 2026. Companion: Errors_Register_Simon_Reid_26_Sep_2026.xlsx. Every quote below was checked against the source PDF text; page refs are Tribunal (T-document) pages.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Bottom line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Commission said it first. </w:t>
      </w:r>
      <w:r>
        <w:rPr>
          <w:rFonts w:ascii="Calibri" w:cs="Calibri" w:eastAsia="Calibri" w:hAnsi="Calibri"/>
          <w:sz w:val="21"/>
          <w:szCs w:val="21"/>
        </w:rPr>
        <w:t xml:space="preserve">Before acting, its own compliance team warned the action "may be viewed as quite strong given that the complaints and breaches focus on administrative and personal errors" (EC22-002000, Risks/Sensitivities [4], T9 p 159).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prosecution's own accountant backs it. </w:t>
      </w:r>
      <w:r>
        <w:rPr>
          <w:rFonts w:ascii="Calibri" w:cs="Calibri" w:eastAsia="Calibri" w:hAnsi="Calibri"/>
          <w:sz w:val="21"/>
          <w:szCs w:val="21"/>
        </w:rPr>
        <w:t xml:space="preserve">For Hybrid claims in Simon's directorship period, the CDPP forensic accountant listed 1,307 claims ($711,600). She did not allege 903 of them ($324,543) were false. Of the $387,056 she did allege, only $89,963 (23%) rests on a participant saying no service was received at all.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Nothing links Simon personally. </w:t>
      </w:r>
      <w:r>
        <w:rPr>
          <w:rFonts w:ascii="Calibri" w:cs="Calibri" w:eastAsia="Calibri" w:hAnsi="Calibri"/>
          <w:sz w:val="21"/>
          <w:szCs w:val="21"/>
        </w:rPr>
        <w:t xml:space="preserve">The Commission admitted "limited information about his actual involvement in the operations" (T9.4 p 178). Hybrid invoices in the CDPP set were sent from Xero by accounts staff — none by Simon.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ban was meant to last until the charges were decided. </w:t>
      </w:r>
      <w:r>
        <w:rPr>
          <w:rFonts w:ascii="Calibri" w:cs="Calibri" w:eastAsia="Calibri" w:hAnsi="Calibri"/>
          <w:sz w:val="21"/>
          <w:szCs w:val="21"/>
        </w:rPr>
        <w:t xml:space="preserve">The Commission's own policy says so (T6 pp 141–142). The charges were dismissed on 23 Feb 2024. The ban is still running.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is not a free win. </w:t>
      </w:r>
      <w:r>
        <w:rPr>
          <w:rFonts w:ascii="Calibri" w:cs="Calibri" w:eastAsia="Calibri" w:hAnsi="Calibri"/>
          <w:sz w:val="21"/>
          <w:szCs w:val="21"/>
        </w:rPr>
        <w:t xml:space="preserve">Four participants (Benediktsson, Janine Craig, Yvonne Harrison, Goodwin-Hybrid) have no roster support for the disputed claims, and Hashimi ($164k 'after departure to Tehran') needs a real explanation. Section 6.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The Commission's own words (verified)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5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Exact words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EC22-002000 [4], 19 Oct 2022 (T9 p 159)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"It is likely that the Commission's action against the Provider and individual may be viewed as quite strong given that the complaints and breaches focus on administrative and personal errors."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Headline. The Commission characterised the conduct as errors before it acted.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T9.4 investigation note (p 178)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"Despite emails for FFG and The Hive being directed to or including Simon Reid the Commission has limited information about his actual involvement in the operations."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personal act.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Banning Order Policy T6 (p 140)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Banning orders are "the NDIS Commission's most serious regulatory response"; proportionality means they "shouldn't be for a longer period than is considered necessary".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Proportionality benchmark.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 (p 142)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Key personnel "would be unlikely to receive a banning order, unless either directly involved in the conduct of concern or having failed to take appropriate steps … which significantly facilitated, contributed to or exacerbated the conduct."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Simon: not directly involved; acted fast when he found out.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T6 (p 142)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If a ban is issued pending charges, it should "apply for a period sufficient to allow the charge to be determined. Once the charge is determined, the Commissioner will then consider whether the banning order should be varied".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Charges dismissed 23 Feb 2024 — the premise is gone.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EC22-002103 [20.3] (17 Nov 2022)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"there are currently no identified immediate dangers to the health, safety or wellbeing of a person with disability"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 risk.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EC22-002429 [8.2] (2 Dec 2022)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"The NDIS Commission does not hold any information that identifies any immediate danger to the health, safety or wellbeing of a person with disability posed by Mr Reid."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 risk, specific to Simon.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NDIA Statement of Material Facts [41] (T9 tender)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new Goodwin plan was issued "because of an administrative error in the plan issued on 15 October 2021."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NDIA made admin errors on the same participant.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Simon internal review [29(j)], 21 Apr 2023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NDIA Tactical Intelligence Report "acknowledges that it is not known what proportion of these claims against expired plans were for services that were indeed provided."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$1.485m headline was never tested for delivery.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Simon internal review [32]–[33]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original decision-maker "attributed liability to Mr Reid for conduct which occurred during a period of time where he was not the director" and "considered the same set of facts (or allegations) twice".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Commission's own errors.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FFG internal review [36], 8 Jun 2023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original decision "was grounded in a broader range of considerations than was necessary"; the reviewer acknowledged "deficiencies and failings by the original decision-maker".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Same project, admitted defects.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Magistrates Court, 23 Feb 2024 (certified transcript)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Charges "dismissed for want of prosecution. The accused is formally discharged" after the prosecution offered no evidence.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criminal case the ban relied on is over.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Also verified earlier: SoMF says invoices were lodged by "an unknown person using FFG software 'Xero'" (paras 46, 50, 57, 61); decision brief EC22-002521 [13] — orders "may be varied or revoked" on "a determination of a court".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The prosecution's own numbers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Source: CDPP forensic accountant Kelly Beckett, Annexures B.1–B.26 (R v Vida Reid). She listed every NDIA payment request for 23 participants and coloured each one: alleged fraudulent, cancelled/offset/repaid, or not paid. Our parse reconciles to her Annex B total within $322 ($1,475,549 v $1,475,870.97).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Hybrid Hive claims, support start on or after 17 Feb 2022 (Simon's directorship)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900"/>
        <w:gridCol w:w="15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prosecution's accountant did with them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Claims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 of alleged $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Did NOT allege fraudulent (treated as legitimate)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$324,543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Alleged: participant says no service at all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$89,963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Alleged: participant elsewhere (Hashimi 'after departure to Tehran')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$163,734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Alleged: item type / rate / weekend / "possibly" fraudulent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$72,869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Alleged: no basis stated in the annex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$53,871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Alleged: date/period disputed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$6,620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Alleged total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$387,056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Cancelled by the provider and offset/repaid (Charlie Harrison — all 26 Hybrid claims)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$14,990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Categories are our keyword grouping of the accountant's own 'basis' column; check the PDF row before quoting any single claim. Full claim-by-claim list: Errors Register, 'All claims' sheet.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means in plain English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Most Hybrid billing in Simon's period was accepted by the prosecution's own accountant.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Only about $90k is a straight 'I never got it'. The rest are disputes about when, what type, where the participant was, or have no stated basis at all.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The Charlie Harrison Hybrid claims — which the internal review relied on — were cancelled and repaid. That is an error being corrected, not fraud being hidden.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Proof of delivery we now hold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Hybrid BrightHR roster export: </w:t>
      </w:r>
      <w:r>
        <w:rPr>
          <w:rFonts w:ascii="Calibri" w:cs="Calibri" w:eastAsia="Calibri" w:hAnsi="Calibri"/>
          <w:sz w:val="21"/>
          <w:szCs w:val="21"/>
        </w:rPr>
        <w:t xml:space="preserve">3,776 shifts, 86 workers, Jun 2021–Dec 2022 (Rosters- Bright HR.csv). It names the participant, address, worker, date, hours and whether the shift was accepted.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Sarah-Jane Clulow — the strongest example. </w:t>
      </w:r>
      <w:r>
        <w:rPr>
          <w:rFonts w:ascii="Calibri" w:cs="Calibri" w:eastAsia="Calibri" w:hAnsi="Calibri"/>
          <w:sz w:val="21"/>
          <w:szCs w:val="21"/>
        </w:rPr>
        <w:t xml:space="preserve">All 46 alleged Hybrid claims in Simon's period ($46,679) have an accepted, rostered shift for her in the claim window. Her own statement: "HH did provide supports for a while from 24 or 25 January 2022 to 22 June 2022" — personal care and community access. The roster runs 25 Jan–21 Jun 2022.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roster matches the legitimate billing: </w:t>
      </w:r>
      <w:r>
        <w:rPr>
          <w:rFonts w:ascii="Calibri" w:cs="Calibri" w:eastAsia="Calibri" w:hAnsi="Calibri"/>
          <w:sz w:val="21"/>
          <w:szCs w:val="21"/>
        </w:rPr>
        <w:t xml:space="preserve">e.g. Trantham 182 of 210 accepted claims, Goodwin 154 of 250, Clulow 231 of 245 have rostered shifts. That makes the roster credible as a delivery record.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290 CRM case-note reports </w:t>
      </w:r>
      <w:r>
        <w:rPr>
          <w:rFonts w:ascii="Calibri" w:cs="Calibri" w:eastAsia="Calibri" w:hAnsi="Calibri"/>
          <w:sz w:val="21"/>
          <w:szCs w:val="21"/>
        </w:rPr>
        <w:t xml:space="preserve">(support coordination, with worker names, times and notes) — e.g. Benediktsson: 13.75 hrs, 1 Apr–13 Jul 2022 (Blake Sadler). Shows real, ongoing work, though mostly FFG coordination rather than Hybrid supports.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Who sent Hybrid invoices (Xero sender names, CDPP plan-manager set): </w:t>
      </w:r>
      <w:r>
        <w:rPr>
          <w:rFonts w:ascii="Calibri" w:cs="Calibri" w:eastAsia="Calibri" w:hAnsi="Calibri"/>
          <w:sz w:val="21"/>
          <w:szCs w:val="21"/>
        </w:rPr>
        <w:t xml:space="preserve">Virginie Dulloo 46, Hasantha Jayasinghe 13, 'The Hive' 11, Rejaul Alam 3, Vida Reid 1. Simon: none.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Errors being caught and fixed in real time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CDPP's own plan-manager emails show ordinary billing errors raised and corrected — the pattern of an over-stretched accounts team, not a scheme: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25 Mar 2022 — Assist Plan Managers to Rejaul: "the invoicing errors we discussed in our meeting in January, have resurfaced" (duplicate lines, same dates, different quantities).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28 Mar and 10 May 2022 — The Hive accounts: Yvonne Harrison invoices INV-0391/0390 "amended to reflect the correct rate".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27 May 2022 — Virginie (The Hive): "Please disregard this invoice – Wrong invoice number" (Goodwin INV-0105).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7 Jun 2022 — The Hive: INV-0735 "is the correct one … Please ignore the amended one … this was a duplicate" (Yvonne Harrison).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25 Jul 2022 — FFG accounts (Rejaul): "The team noticed the error and fixed it this afternoon" (INV-1446).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29 Jul 2022 — Virginie: "Please ignore INV-0998 this is a duplicate" (Hashimi).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Full list: Errors Register, 'Plan manager corrections' sheet (34 flagged emails).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What still hurts — deal with it head-on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56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 (Hybrid, Simon period)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Alleged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 and what we need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Seyed Hashimi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$165,944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184 claims said to be "after departure to Tehran". The roster shows 62 claims ($56,912) with scheduled shifts — which either proves delivery or looks like shifts that did not happen. Need: his statement, the departure date, who the rostered workers were and whether they were paid. Biggest single number.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Meghan Goodwin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$59,072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Mostly 'possibly' / item-type disputes, but no roster shifts in the alleged windows. Need Hybrid pay records for those dates.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Janine Craig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$32,550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"No services provided"; no roster entries. Need payroll/timesheets or accept it as an error.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Hrimnir Benediktsson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$25,958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"No services provided"; no roster. Plan manager, 26 Aug 2022: "cancel payment as Frosty has reported that the services were not delivered". Treat as the Commission's best example; answer with records or concede and show the response.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Yvonne Harrison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$10,793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Only 1 of 124 alleged claims has a roster match.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Other risks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FFG email 25 Aug 2022 asking the plan manager to process a Hashimi invoice by "manual payment" because "the mother is declining payment" (FFG, not Hybrid — but bad optics). Vitality email (9 Feb 2023). A plan manager addressed an email to "Simon" about Clulow invoices (22 Mar 2022) — expect AGS to use it for 'operational involvement'.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Honest read: </w:t>
      </w:r>
      <w:r>
        <w:rPr>
          <w:rFonts w:ascii="Calibri" w:cs="Calibri" w:eastAsia="Calibri" w:hAnsi="Calibri"/>
          <w:sz w:val="21"/>
          <w:szCs w:val="21"/>
        </w:rPr>
        <w:t xml:space="preserve">the theme wins the proportionality argument and shrinks the case to four or five participants. It does not make those claims disappear. Where records can't answer a claim, concede it as a billing failure by the accounts function and show what Simon did when he found out (lawyers 29 Sep, audit 3 Oct, CFO removed 6 Oct 2022).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How to run it at the hearing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 — Frame: </w:t>
      </w:r>
      <w:r>
        <w:rPr>
          <w:rFonts w:ascii="Calibri" w:cs="Calibri" w:eastAsia="Calibri" w:hAnsi="Calibri"/>
          <w:sz w:val="21"/>
          <w:szCs w:val="21"/>
        </w:rPr>
        <w:t xml:space="preserve">read T9 [4] first. "The Commission told itself this was about administrative and personal errors."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 — Shrink the case: </w:t>
      </w:r>
      <w:r>
        <w:rPr>
          <w:rFonts w:ascii="Calibri" w:cs="Calibri" w:eastAsia="Calibri" w:hAnsi="Calibri"/>
          <w:sz w:val="21"/>
          <w:szCs w:val="21"/>
        </w:rPr>
        <w:t xml:space="preserve">the prosecution's own accountant accepted most of the billing; the 'no service' residue is ~$90k across a handful of participants, none linked to any act by Simon.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3 — Show the fixes: </w:t>
      </w:r>
      <w:r>
        <w:rPr>
          <w:rFonts w:ascii="Calibri" w:cs="Calibri" w:eastAsia="Calibri" w:hAnsi="Calibri"/>
          <w:sz w:val="21"/>
          <w:szCs w:val="21"/>
        </w:rPr>
        <w:t xml:space="preserve">real-time corrections (Section 5), cancellations/repayments, and Simon's October 2022 response.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4 — Apply the Commission's own policy: </w:t>
      </w:r>
      <w:r>
        <w:rPr>
          <w:rFonts w:ascii="Calibri" w:cs="Calibri" w:eastAsia="Calibri" w:hAnsi="Calibri"/>
          <w:sz w:val="21"/>
          <w:szCs w:val="21"/>
        </w:rPr>
        <w:t xml:space="preserve">most serious response; not longer than necessary; key personnel only if directly involved; review once charges are decided (T6). Statutory hook: s 181D(4)(b) — act in a risk-responsive and proportionate way (recited in the internal review itself).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5 — Relief: </w:t>
      </w:r>
      <w:r>
        <w:rPr>
          <w:rFonts w:ascii="Calibri" w:cs="Calibri" w:eastAsia="Calibri" w:hAnsi="Calibri"/>
          <w:sz w:val="21"/>
          <w:szCs w:val="21"/>
        </w:rPr>
        <w:t xml:space="preserve">revoke. Fallback: confine to directly providing supports, no labour hire / 'any capacity' limb (Sunflower), and end it at time served.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Next steps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Hashimi: get his CDPP statement (Service_1) and the departure date; match the 62 rostered claims to pay records.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Hybrid payroll/STP for Benediktsson, Craig, Goodwin and Yvonne Harrison dates (Hive HR folders are onboarding forms only — pay runs still needed).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OCR the accountant's main report (42 scanned pages) for her method and any concessions.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Add to the withheld-documents direction: Att 55 (legal concerns), Att 1D (considerations), Att 6, Q (Hybrid risk assessment), P, and the Tactical Intelligence Report.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Verify every quote against the PDF page before filing (done for Section 2 from text extraction; re-check page numbers on the printed bundle).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2026-09-26T17:02:33.267Z</dcterms:created>
  <dcterms:modified xsi:type="dcterms:W3CDTF">2026-09-26T17:02:33.267Z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