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Reid — Litigation Action Pack</w:t>
      </w:r>
    </w:p>
    <w:p>
      <w:pPr>
        <w:spacing w:after="40"/>
      </w:pPr>
      <w:r>
        <w:rPr>
          <w:color w:val="595959"/>
          <w:sz w:val="22"/>
          <w:szCs w:val="22"/>
        </w:rPr>
        <w:t xml:space="preserve">Master brief for the legal team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Reid v NDIS Commission (ART 2023/3361, 2023/3363, 2023/4494) + contemplated Reid v NDIA (Federal Court, s 39B) · 26 June 2026 · not legal advice</w:t>
      </w:r>
    </w:p>
    <w:p>
      <w:pPr>
        <w:shd w:fill="2E5496" w:val="clear"/>
        <w:spacing w:after="160" w:before="40"/>
        <w:jc w:val="center"/>
      </w:pPr>
      <w:r>
        <w:rPr>
          <w:b/>
          <w:bCs/>
          <w:color w:val="FFFFFF"/>
          <w:sz w:val="24"/>
          <w:szCs w:val="24"/>
        </w:rPr>
        <w:t xml:space="preserve">THREE PACKAGES · THREE TIMELINES · ONE STRATEGY</w:t>
      </w:r>
    </w:p>
    <w:p>
      <w:pPr>
        <w:pStyle w:val="Heading1"/>
      </w:pPr>
      <w:r>
        <w:t xml:space="preserve">1. The situation, in three sentences</w:t>
      </w:r>
    </w:p>
    <w:p>
      <w:pPr>
        <w:spacing w:after="120"/>
      </w:pPr>
      <w:r>
        <w:t xml:space="preserve">The ART matter is on foot but reaches only the NDIS Commission; the conduct that actually drove this — the “fraud” framing, the coordinated provider exit, the installation of competitors, the payment freeze — was the </w:t>
      </w:r>
      <w:r>
        <w:rPr>
          <w:b/>
          <w:bCs/>
        </w:rPr>
        <w:t xml:space="preserve">NDIA’s</w:t>
      </w:r>
      <w:r>
        <w:t xml:space="preserve">, through officers Nathan Halls and Barbara Lundgren. The AGS litigates the Commission’s banning orders as a shield to keep the NDIA’s conduct off-stage. This action pack opens three coordinated fronts to pull the NDIA, Halls and Lundgren into the picture — each on its own timeline.</w:t>
      </w:r>
    </w:p>
    <w:p>
      <w:pPr>
        <w:pStyle w:val="Heading1"/>
      </w:pPr>
      <w:r>
        <w:t xml:space="preserve">2. The three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760"/>
        <w:gridCol w:w="2450"/>
        <w:gridCol w:w="1800"/>
      </w:tblGrid>
      <w:tr>
        <w:trPr>
          <w:tblHeader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 / timing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Who acts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— FOI + preservation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FOI request emails (CDPP, NDIS Commission, NDIA, Services Australia, Home Affairs, AFP) + Privacy Act template + NDIA evidence-preservation notice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LODGE NOW — independent of every other step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Applicants, today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— ART summonses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 74 summons request + 5 document schedules (NDIA, Halls, Lundgren, Graydon, Jarratt); s 23 lodgement demand; own-or-disclaim election letter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HOLD — file only after the reserved stay/severance and s 70 (LPP) decisions are handed down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Counsel, on the trigger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— Federal s 39B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Originating-application skeleton + grounds (improper purpose; misfeasance) + respondent matrix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WORK IN PROGRESS — settle with counsel and lodge soon (limitation)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Counsel to settle/sign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3. Why the timing differs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1 now. </w:t>
      </w:r>
      <w:r>
        <w:t xml:space="preserve">FOI runs a 30-day clock and 12–24-month review queue — value is starting it today; it gates nothing. The preservation notice cannot wait either: log rotation would destroy the custodians’ records while the Tribunal deliberates.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2 held. </w:t>
      </w:r>
      <w:r>
        <w:t xml:space="preserve">Issuing summonses while the Deputy President has two decisions reserved risks antagonising the bench and a stay of the summonses; and the s 70 (LPP) decision will define what is privileged, which directly shapes summons scope. Hold until both land, then 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3 soon. </w:t>
      </w:r>
      <w:r>
        <w:t xml:space="preserve">The federal case is the only forum that makes the NDIA a respondent and exposes Halls and Lundgren personally. It is WIP because counsel must settle it — but lodge soon: the misfeasance limitation (≈6 years from the 2022 conduct) is finite and the Respondent is rewarded by delay.</w:t>
      </w:r>
    </w:p>
    <w:p>
      <w:pPr>
        <w:pStyle w:val="Heading1"/>
      </w:pPr>
      <w:r>
        <w:t xml:space="preserve">4. The documentary spine (what every front rests on)</w:t>
      </w:r>
    </w:p>
    <w:p>
      <w:pPr>
        <w:pBdr>
          <w:left w:val="single" w:color="BF8F00" w:sz="18" w:space="6"/>
        </w:pBdr>
        <w:shd w:fill="E2EFDA" w:val="clear"/>
        <w:spacing w:after="140" w:before="60"/>
      </w:pPr>
      <w:r>
        <w:rPr>
          <w:b/>
          <w:bCs/>
        </w:rPr>
        <w:t xml:space="preserve">These are the items to keep verified and to hand: </w:t>
      </w:r>
      <w:r>
        <w:t xml:space="preserve">Halls, 16 Aug 2022 — Diversitas installed “at the request of the agency via a request for service”; Halls, 29 Sep 2022 — “I am leading a coordinated provider exit on behalf of the NDIA” (fraud treated as “substantiated” pre-charge); Lundgren, 6 Oct 2022 — “the Agency has not directed Assist Plan Managers to cease all payments” (the internal contradiction); and the Commission’s own brief — evidence “draws upon statements obtained and provided by the NDIA.”</w:t>
      </w:r>
    </w:p>
    <w:p>
      <w:pPr>
        <w:pStyle w:val="Heading1"/>
      </w:pPr>
      <w:r>
        <w:t xml:space="preserve">5. Verify before anything is filed or served</w:t>
      </w:r>
    </w:p>
    <w:p>
      <w:pPr>
        <w:spacing w:after="80"/>
        <w:ind w:left="600" w:hanging="340"/>
      </w:pPr>
      <w:r>
        <w:t xml:space="preserve">1. </w:t>
      </w:r>
      <w:r>
        <w:t xml:space="preserve">Re-confirm the EC22-002103 / “Project Archer” brief quotations against the primary document.</w:t>
      </w:r>
    </w:p>
    <w:p>
      <w:pPr>
        <w:spacing w:after="80"/>
        <w:ind w:left="600" w:hanging="340"/>
      </w:pPr>
      <w:r>
        <w:t xml:space="preserve">2. </w:t>
      </w:r>
      <w:r>
        <w:t xml:space="preserve">Confirm Barbara Lundgren’s exact role/title and that the 6 Oct 2022 line is hers.</w:t>
      </w:r>
    </w:p>
    <w:p>
      <w:pPr>
        <w:spacing w:after="80"/>
        <w:ind w:left="600" w:hanging="340"/>
      </w:pPr>
      <w:r>
        <w:t xml:space="preserve">3. </w:t>
      </w:r>
      <w:r>
        <w:t xml:space="preserve">Pin every federal authority (neutral citation, paragraph, bench) before the s 39B grounds are settled.</w:t>
      </w:r>
    </w:p>
    <w:p>
      <w:pPr>
        <w:spacing w:after="80"/>
        <w:ind w:left="600" w:hanging="340"/>
      </w:pPr>
      <w:r>
        <w:t xml:space="preserve">4. </w:t>
      </w:r>
      <w:r>
        <w:t xml:space="preserve">Confirm whether the 6 March 2025 NDIS Commission FOI was already lodged from Vida’s Yahoo account before re-sending it (Package 1, Email 2).</w:t>
      </w:r>
    </w:p>
    <w:p>
      <w:pPr>
        <w:spacing w:after="80"/>
        <w:ind w:left="600" w:hanging="340"/>
      </w:pPr>
      <w:r>
        <w:t xml:space="preserve">5. </w:t>
      </w:r>
      <w:r>
        <w:t xml:space="preserve">Confirm the current ART summons form and the exact provisions for the s 70 / non-disclosure decision references.</w:t>
      </w:r>
    </w:p>
    <w:p>
      <w:pPr>
        <w:pStyle w:val="Heading1"/>
      </w:pPr>
      <w:r>
        <w:t xml:space="preserve">6. Reading order / what else is in the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here: </w:t>
      </w:r>
      <w:r>
        <w:t xml:space="preserve">this master brief, then the package matching the next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Strategy context: </w:t>
      </w:r>
      <w:r>
        <w:t xml:space="preserve">“FOI Strategy v2 — Federal and ART” and “Defeating the Commission shield — NDIA, Halls and Lundgren.”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Supersession: </w:t>
      </w:r>
      <w:r>
        <w:t xml:space="preserve">Packages 1 and 2 supersede the earlier combined “FOI Request Letters” and “Draft Instruments” documents — use the packages.</w:t>
      </w:r>
    </w:p>
    <w:p>
      <w:pPr>
        <w:spacing w:after="120"/>
      </w:pPr>
      <w:r>
        <w:rPr>
          <w:b/>
          <w:bCs/>
          <w:i/>
          <w:iCs/>
        </w:rPr>
        <w:t xml:space="preserve">Caveat. </w:t>
      </w:r>
      <w:r>
        <w:rPr>
          <w:i/>
          <w:iCs/>
        </w:rPr>
        <w:t xml:space="preserve">Drafts for settling by counsel; the author is not a lawyer. Nothing here concedes any wrongdoing by any applicant; the Commission’s case is contested in its entirety. The conduct of Mr Halls and Ms Lundgren is to be tested by process and proved from documents, not asserted as fact.</w:t>
      </w:r>
    </w:p>
    <w:sectPr>
      <w:headerReference w:type="default" r:id="rId7"/>
      <w:footerReference w:type="default" r:id="rId8"/>
      <w:pgSz w:w="12240" w:h="15840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Reid — master brief — 26 June 2026 —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4"/>
        <w:szCs w:val="14"/>
      </w:rPr>
      <w:t xml:space="preserve">PRIVILEGED &amp; CONFIDENTIAL — for settling by counsel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to brief counsel</dc:creator>
  <cp:lastModifiedBy>Un-named</cp:lastModifiedBy>
  <cp:revision>1</cp:revision>
  <dcterms:created xsi:type="dcterms:W3CDTF">2026-06-26T03:14:50.318Z</dcterms:created>
  <dcterms:modified xsi:type="dcterms:W3CDTF">2026-06-26T03:14:50.330Z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