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0"/>
          <w:szCs w:val="20"/>
        </w:rPr>
        <w:t xml:space="preserve">PRIVILEGED AND CONFIDENTIAL — PREPARED FOR THE PURPOSE OF LEGAL PROCEEDINGS</w:t>
      </w:r>
    </w:p>
    <w:p>
      <w:pPr>
        <w:spacing w:after="60"/>
        <w:jc w:val="center"/>
      </w:pPr>
      <w:r>
        <w:rPr>
          <w:b/>
          <w:bCs/>
          <w:sz w:val="28"/>
          <w:szCs w:val="28"/>
        </w:rPr>
        <w:t xml:space="preserve">MEMORANDUM OF STRATEGIC ADVICE</w:t>
      </w:r>
    </w:p>
    <w:p>
      <w:pPr>
        <w:spacing w:after="40"/>
        <w:jc w:val="center"/>
      </w:pPr>
      <w:r>
        <w:t xml:space="preserve">Reid, Reid and Forward Focused Group Pty Ltd v Commissioner of the NDIS Quality and Safeguards Commission</w:t>
      </w:r>
    </w:p>
    <w:p>
      <w:pPr>
        <w:spacing w:after="40"/>
        <w:jc w:val="center"/>
      </w:pPr>
      <w:r>
        <w:t xml:space="preserve">ART 2023/3361, 2023/3363, 2023/4494 — and related compensation strategy</w:t>
      </w:r>
    </w:p>
    <w:p>
      <w:pPr>
        <w:spacing w:after="300"/>
        <w:jc w:val="center"/>
      </w:pPr>
      <w:r>
        <w:t xml:space="preserve">16 August 2026 — working draft prepared with AI assistance; every factual particular sourced to the case file or a cited public document; items marked [VERIFY] require confirmation before external use</w:t>
      </w:r>
    </w:p>
    <w:p>
      <w:pPr>
        <w:spacing w:after="180" w:before="340"/>
      </w:pPr>
      <w:r>
        <w:rPr>
          <w:b/>
          <w:bCs/>
          <w:sz w:val="24"/>
          <w:szCs w:val="24"/>
        </w:rPr>
        <w:t xml:space="preserve">I.  THE OBJECTIVE, RESTATED</w:t>
      </w:r>
    </w:p>
    <w:p>
      <w:pPr>
        <w:spacing w:after="170"/>
        <w:ind w:left="792" w:hanging="792"/>
      </w:pPr>
      <w:r>
        <w:rPr>
          <w:b/>
          <w:bCs/>
        </w:rPr>
        <w:t xml:space="preserve">1.	</w:t>
      </w:r>
      <w:r>
        <w:t xml:space="preserve">The clients do not seek readmission to the NDIS market. The objectives are: (a) correction of the official record; (b) a finding that the banning orders were made beyond power or without a proper evidentiary foundation as to each person actually banned; (c) removal or correction of the continuing public consequences, principally the register; and (d) compensation for demonstrable loss. Every recommendation below is tested against those four objectives and nothing else.</w:t>
      </w:r>
    </w:p>
    <w:p>
      <w:pPr>
        <w:spacing w:after="170"/>
        <w:ind w:left="792" w:hanging="792"/>
      </w:pPr>
      <w:r>
        <w:rPr>
          <w:b/>
          <w:bCs/>
        </w:rPr>
        <w:t xml:space="preserve">2.	</w:t>
      </w:r>
      <w:r>
        <w:t xml:space="preserve">It follows that the Tribunal proceeding is an instrument, not the prize. Its function is to produce a decision substituting no banning order, with retrospective operative effect under s 108(4) of the ART Act, and reasons identifying what was and was not established. That decision is the platform for register correction and for a compensation claim under the CDDA scheme. The Tribunal cannot award damages; nothing in the conduct of the review should be distorted by pretending otherwise.</w:t>
      </w:r>
    </w:p>
    <w:p>
      <w:pPr>
        <w:spacing w:after="180" w:before="340"/>
      </w:pPr>
      <w:r>
        <w:rPr>
          <w:b/>
          <w:bCs/>
          <w:sz w:val="24"/>
          <w:szCs w:val="24"/>
        </w:rPr>
        <w:t xml:space="preserve">II.  THREE CLIENTS, THREE CASES — AND THE RULES THAT KEEP THEM COMPATIBLE</w:t>
      </w:r>
    </w:p>
    <w:p>
      <w:pPr>
        <w:spacing w:after="170"/>
        <w:ind w:left="792" w:hanging="792"/>
      </w:pPr>
      <w:r>
        <w:rPr>
          <w:b/>
          <w:bCs/>
        </w:rPr>
        <w:t xml:space="preserve">3.	</w:t>
      </w:r>
      <w:r>
        <w:rPr>
          <w:b/>
          <w:bCs/>
        </w:rPr>
        <w:t xml:space="preserve">Simon.</w:t>
      </w:r>
      <w:r>
        <w:t xml:space="preserve"> His case is individualisation and validity. The Commission's own briefs concede "limited information about [his] actual involvement" and banned him derivatively (director, signatory, "likely benefited"). Every claim period in the Tribunal's own decision falls in the window when he held no FFG office; no claim has ever been allocated between FFG and Hybrid; no intimidation allegation against him appears in any decision document. His varied order matches — exceeds — the wording quashed in Sunflower (No 2). His ban runs to 22 December 2027; his order contains no personal-supports exception (Vida's does).</w:t>
      </w:r>
    </w:p>
    <w:p>
      <w:pPr>
        <w:spacing w:after="170"/>
        <w:ind w:left="792" w:hanging="792"/>
      </w:pPr>
      <w:r>
        <w:rPr>
          <w:b/>
          <w:bCs/>
        </w:rPr>
        <w:t xml:space="preserve">4.	</w:t>
      </w:r>
      <w:r>
        <w:rPr>
          <w:b/>
          <w:bCs/>
        </w:rPr>
        <w:t xml:space="preserve">Vida.</w:t>
      </w:r>
      <w:r>
        <w:t xml:space="preserve"> Her case is procedural fairness and jeopardy management. Her variation switched the statutory ground ((a)(i) to (a)(iii)) and broadened scope; her separate-question request on that switch survives undetermined. The certified transcript of 23 February 2024 records dismissal for want of prosecution with the CDPP's stated intention to recharge: she remains in practical jeopardy, cannot safely give evidence on the fraud allegations, and her forensic posture must assume the criminal file can reopen. Her interpreter request is unresolved and mandatory in character under s 68.</w:t>
      </w:r>
    </w:p>
    <w:p>
      <w:pPr>
        <w:spacing w:after="170"/>
        <w:ind w:left="792" w:hanging="792"/>
      </w:pPr>
      <w:r>
        <w:rPr>
          <w:b/>
          <w:bCs/>
        </w:rPr>
        <w:t xml:space="preserve">5.	</w:t>
      </w:r>
      <w:r>
        <w:rPr>
          <w:b/>
          <w:bCs/>
        </w:rPr>
        <w:t xml:space="preserve">FFG.</w:t>
      </w:r>
      <w:r>
        <w:t xml:space="preserve"> Its order expired on 20 December 2025. Its interest is utility and the record: a finding that the order should not have been made, correction of the register as a historical entry, and standing as a claimant in compensation for company loss (the Hive plan-migration loss, contract losses). It must not be surrendered merely because the order has expired — the expiry argument was put and ignored in the severance decision, and the review retains practical utility for the register and for CDDA causation.</w:t>
      </w:r>
    </w:p>
    <w:p>
      <w:pPr>
        <w:spacing w:after="170"/>
        <w:ind w:left="792" w:hanging="792"/>
      </w:pPr>
      <w:r>
        <w:rPr>
          <w:b/>
          <w:bCs/>
        </w:rPr>
        <w:t xml:space="preserve">6.	</w:t>
      </w:r>
      <w:r>
        <w:rPr>
          <w:b/>
          <w:bCs/>
        </w:rPr>
        <w:t xml:space="preserve">Hybrid.</w:t>
      </w:r>
      <w:r>
        <w:t xml:space="preserve"> Not an ART applicant. Its exposure is the banning order of 21 December 2022 (EC22-002431) and its remedy path is a s 73ZO variation/revocation application (drafted, unfiled) and participation in the loss schedules. Decide deliberately whether to activate s 73ZO now or after the individual matters resolve; activating now opens a second front for limited gain. Recommendation: hold.</w:t>
      </w:r>
    </w:p>
    <w:p>
      <w:pPr>
        <w:spacing w:after="170"/>
        <w:ind w:left="792" w:hanging="792"/>
      </w:pPr>
      <w:r>
        <w:rPr>
          <w:b/>
          <w:bCs/>
        </w:rPr>
        <w:t xml:space="preserve">7.	</w:t>
      </w:r>
      <w:r>
        <w:rPr>
          <w:b/>
          <w:bCs/>
        </w:rPr>
        <w:t xml:space="preserve">The compatibility rules.</w:t>
      </w:r>
      <w:r>
        <w:t xml:space="preserve"> (a) No applicant advances a case that requires blaming another applicant; Simon's individualisation case is put as "the Commission must prove what I personally did", never "someone else did it". (b) Vida files nothing substantive on the fraud allegations while jeopardy persists; her case is run on documents, procedure and law. (c) Loss schedules are prepared separately for Simon, Vida, FFG and Hybrid from the outset — losses cannot be duplicated and Simon cannot claim company loss. (d) If a real conflict emerges — for example, if the Commission offers Vida separate favourable terms, or if Simon's defence begins to depend on evidence adverse to Vida — the joint strategy stops and separate representation is taken. Watch for AGS engineering exactly that split.</w:t>
      </w:r>
    </w:p>
    <w:p>
      <w:pPr>
        <w:spacing w:after="180" w:before="340"/>
      </w:pPr>
      <w:r>
        <w:rPr>
          <w:b/>
          <w:bCs/>
          <w:sz w:val="24"/>
          <w:szCs w:val="24"/>
        </w:rPr>
        <w:t xml:space="preserve">III.  THE DECISION-MAKER — WHAT THE VERIFIED CORPUS SHOWS</w:t>
      </w:r>
    </w:p>
    <w:p>
      <w:pPr>
        <w:spacing w:after="170"/>
        <w:ind w:left="792" w:hanging="792"/>
      </w:pPr>
      <w:r>
        <w:rPr>
          <w:b/>
          <w:bCs/>
        </w:rPr>
        <w:t xml:space="preserve">8.	</w:t>
      </w:r>
      <w:r>
        <w:t xml:space="preserve">Nine published decisions of DP McMillan KC exist; five have been captured and analysed in full (Byers, Wright, Visvis, Arizabaleta, Wei), together with the severance decision in this matter. The corpus supports one central finding and several operating rules. The intelligence profile is loaded to the case database (MCMILLAN_DP_MEMBER_PROFILE).</w:t>
      </w:r>
    </w:p>
    <w:p>
      <w:pPr>
        <w:spacing w:after="170"/>
        <w:ind w:left="792" w:hanging="792"/>
      </w:pPr>
      <w:r>
        <w:rPr>
          <w:b/>
          <w:bCs/>
        </w:rPr>
        <w:t xml:space="preserve">9.	</w:t>
      </w:r>
      <w:r>
        <w:rPr>
          <w:b/>
          <w:bCs/>
        </w:rPr>
        <w:t xml:space="preserve">The central finding: applicants win in front of her at full oral merits hearings with tested evidence, and lose in paper and interlocutory postures.</w:t>
      </w:r>
      <w:r>
        <w:t xml:space="preserve"> Byers: set aside after an oral hearing at which the applicant's objection to untested police reports "was upheld save for specific documents which were put to the Applicant". Arizabaleta: set aside after an oral hearing, 132 pinpoint-cited paragraphs. Against that: Wright (stay refused), Wei (dismissed), Visvis (affirmed), and the severance ruling — decided on the papers, 41 paragraphs, four transcription errors. The Respondent's proposed two-day estimate is an attempt to hold this matter in her paper mode. The clients' whole procedural strategy is to move it into her oral mode.</w:t>
      </w:r>
    </w:p>
    <w:p>
      <w:pPr>
        <w:spacing w:after="170"/>
        <w:ind w:left="792" w:hanging="792"/>
      </w:pPr>
      <w:r>
        <w:rPr>
          <w:b/>
          <w:bCs/>
        </w:rPr>
        <w:t xml:space="preserve">10.	</w:t>
      </w:r>
      <w:r>
        <w:rPr>
          <w:b/>
          <w:bCs/>
        </w:rPr>
        <w:t xml:space="preserve">The Byers evidentiary playbook is the single most valuable finding.</w:t>
      </w:r>
      <w:r>
        <w:t xml:space="preserve"> Her own reasons record that where COPS reports carried no recorded outcome, the objection taken at the outset of the hearing was upheld, and consent-based orders without admissions were treated with caution, and charges dismissed after hearing were treated as neutralised. Applied here: object at the outset, item by item, to every witness statement whose maker is not called, every investigation record with no adjudicated outcome, and every reference to the discontinued charges. On her own demonstrated practice, most of the Commission's file does not survive that objection in respect of Simon.</w:t>
      </w:r>
    </w:p>
    <w:p>
      <w:pPr>
        <w:spacing w:after="170"/>
        <w:ind w:left="792" w:hanging="792"/>
      </w:pPr>
      <w:r>
        <w:rPr>
          <w:b/>
          <w:bCs/>
        </w:rPr>
        <w:t xml:space="preserve">11.	</w:t>
      </w:r>
      <w:r>
        <w:t xml:space="preserve">The remaining operating rules, each sourced: hand her a complete authoritative framework and she adopts it (Kennett J appendix in Visvis; DP O'Donovan in Arizabaleta) — Sunflower [131] is drafted for exactly that use; run the precondition question first (her Visvis two-stage habit); plead variation as the alternative outcome in her own Wright words ("cancellation is not the only outcome"); never minimise ("minimises their significance" — Wright), never leave an allegation untraversed (Wright), never file late (Wei), never re-agitate decided matters; raise everything at the one oral opportunity (Wei); frame every application as shortening the hearing; calibrated candour about administrative imperfection assists, blanket denial fails.</w:t>
      </w:r>
    </w:p>
    <w:p>
      <w:pPr>
        <w:spacing w:after="180" w:before="340"/>
      </w:pPr>
      <w:r>
        <w:rPr>
          <w:b/>
          <w:bCs/>
          <w:sz w:val="24"/>
          <w:szCs w:val="24"/>
        </w:rPr>
        <w:t xml:space="preserve">IV.  THE OPPONENT — STATE OF MIND</w:t>
      </w:r>
    </w:p>
    <w:p>
      <w:pPr>
        <w:spacing w:after="170"/>
        <w:ind w:left="792" w:hanging="792"/>
      </w:pPr>
      <w:r>
        <w:rPr>
          <w:b/>
          <w:bCs/>
        </w:rPr>
        <w:t xml:space="preserve">12.	</w:t>
      </w:r>
      <w:r>
        <w:t xml:space="preserve">The verified picture (loaded to the database as AGS_OPPOSING_TEAM_PROFILE): the file is run at working level from AGS Melbourne (Dickinson, Senior Lawyer promoted A/g SEL mid-litigation; Land, most junior title; "Davis" identity unresolved). Counsel "J Moore" is on the balance of the evidence Julie Moore of Francis Burt Chambers, Perth — the only Moore at the WA Bar, an administrative and merits-review specialist, formerly associate to Gilmour J (author of the Axis framework the severance decision applied) — and verified from the Federal Court's own judgments, a "Ms J Moore" was the Commissioner's counsel through both Sunflower hearings, junior to Peter Hanks KC at the final. </w:t>
      </w:r>
    </w:p>
    <w:p>
      <w:pPr>
        <w:spacing w:after="170"/>
        <w:ind w:left="792" w:hanging="792"/>
      </w:pPr>
      <w:r>
        <w:rPr>
          <w:b/>
          <w:bCs/>
        </w:rPr>
        <w:t xml:space="preserve">13.	</w:t>
      </w:r>
      <w:r>
        <w:rPr>
          <w:b/>
          <w:bCs/>
        </w:rPr>
        <w:t xml:space="preserve">Assume the Commission knows its varied orders match the quashed formula.</w:t>
      </w:r>
      <w:r>
        <w:t xml:space="preserve"> Its probable counsel ran the case that quashed them; the Commission briefed one of the country's first-rank public-law silks for Sunflower and still lost both orders to certiorari. From that, its observable litigation strategy in this matter reads coherently: keep the review a factual suitability inquiry (its framing, adopted wholesale at paragraph 38); keep it on paper (a two-day estimate prices a hearing at which no participant is called); keep it fast (its minute runs straight to hearing); and never let validity crystallise as an issue. The two-day estimate is not carelessness. It is the strategy.</w:t>
      </w:r>
    </w:p>
    <w:p>
      <w:pPr>
        <w:spacing w:after="170"/>
        <w:ind w:left="792" w:hanging="792"/>
      </w:pPr>
      <w:r>
        <w:rPr>
          <w:b/>
          <w:bCs/>
        </w:rPr>
        <w:t xml:space="preserve">14.	</w:t>
      </w:r>
      <w:r>
        <w:t xml:space="preserve">Its pressure points, in descending order: (a) </w:t>
      </w:r>
      <w:r>
        <w:rPr>
          <w:b/>
          <w:bCs/>
        </w:rPr>
        <w:t xml:space="preserve">a second adverse ruling on the same wording</w:t>
      </w:r>
      <w:r>
        <w:t xml:space="preserve">, this time in the Tribunal, converts Sunflower from an isolated Federal Court loss into settled doctrine against the Commission's standard instrument — an institutional cost it will pay to avoid; (b) </w:t>
      </w:r>
      <w:r>
        <w:rPr>
          <w:b/>
          <w:bCs/>
        </w:rPr>
        <w:t xml:space="preserve">model-litigant obligations</w:t>
      </w:r>
      <w:r>
        <w:t xml:space="preserve"> under the Legal Services Directions constrain pressing an untested-paper case against self-represented parties once the objection is squarely on the record; (c) </w:t>
      </w:r>
      <w:r>
        <w:rPr>
          <w:b/>
          <w:bCs/>
        </w:rPr>
        <w:t xml:space="preserve">the paragraph 46 foundation cannot be re-proved</w:t>
      </w:r>
      <w:r>
        <w:t xml:space="preserve"> — the "ongoing investigation" produced no brief, no charge and a discontinuance; (d) a genuinely contested two-week hearing with counsel is expensive. The settlement window opens when the separate question is listed for hearing — that is when their downside becomes concrete and dated. Any approach before then negotiates against ourselves.</w:t>
      </w:r>
    </w:p>
    <w:p>
      <w:pPr>
        <w:spacing w:after="180" w:before="340"/>
      </w:pPr>
      <w:r>
        <w:rPr>
          <w:b/>
          <w:bCs/>
          <w:sz w:val="24"/>
          <w:szCs w:val="24"/>
        </w:rPr>
        <w:t xml:space="preserve">V.  THE THEORY OF THE CASE</w:t>
      </w:r>
    </w:p>
    <w:p>
      <w:pPr>
        <w:spacing w:after="170"/>
        <w:ind w:left="792" w:hanging="792"/>
      </w:pPr>
      <w:r>
        <w:rPr>
          <w:b/>
          <w:bCs/>
        </w:rPr>
        <w:t xml:space="preserve">15.	</w:t>
      </w:r>
      <w:r>
        <w:t xml:space="preserve">Paragraph 38 of the severance decision states the Tribunal's three issues. Each is met head-on. </w:t>
      </w:r>
      <w:r>
        <w:rPr>
          <w:b/>
          <w:bCs/>
        </w:rPr>
        <w:t xml:space="preserve">(a) Claims for services not provided:</w:t>
      </w:r>
      <w:r>
        <w:t xml:space="preserve"> allocation and individualisation — the Commission must identify the entity, the period, and Simon's personal act for each claim; on its own documents it cannot. Vida contests the allegations but fights on documents and law, not testimony. </w:t>
      </w:r>
      <w:r>
        <w:rPr>
          <w:b/>
          <w:bCs/>
        </w:rPr>
        <w:t xml:space="preserve">(b) Intimidation/harassment:</w:t>
      </w:r>
      <w:r>
        <w:t xml:space="preserve"> no such allegation against Simon exists in any decision document — it must be exposed as new matter or withdrawn. </w:t>
      </w:r>
      <w:r>
        <w:rPr>
          <w:b/>
          <w:bCs/>
        </w:rPr>
        <w:t xml:space="preserve">(c) Contravention:</w:t>
      </w:r>
      <w:r>
        <w:t xml:space="preserve"> the three-window pincer — pre-order conduct (Dream Big registration 29 October 2022) cannot contravene an order not yet made; post-order pre-variation conduct is outside the original order's specified activity; post-variation conduct falls under wording that on Sunflower [131] is not an authorised banning order at all, and an order incapable of being obeyed is incapable of being contravened.</w:t>
      </w:r>
    </w:p>
    <w:p>
      <w:pPr>
        <w:spacing w:after="170"/>
        <w:ind w:left="792" w:hanging="792"/>
      </w:pPr>
      <w:r>
        <w:rPr>
          <w:b/>
          <w:bCs/>
        </w:rPr>
        <w:t xml:space="preserve">16.	</w:t>
      </w:r>
      <w:r>
        <w:t xml:space="preserve">The affirmative limbs: </w:t>
      </w:r>
      <w:r>
        <w:rPr>
          <w:b/>
          <w:bCs/>
        </w:rPr>
        <w:t xml:space="preserve">validity</w:t>
      </w:r>
      <w:r>
        <w:t xml:space="preserve"> (the separate question — Sunflower [131] applied to the varied orders); </w:t>
      </w:r>
      <w:r>
        <w:rPr>
          <w:b/>
          <w:bCs/>
        </w:rPr>
        <w:t xml:space="preserve">foundation</w:t>
      </w:r>
      <w:r>
        <w:t xml:space="preserve"> (no reasonable belief about Simon personally was or could have been formed — T9.4, Project Archer, paragraph 46 against the AGS 28 February 2024 admission); </w:t>
      </w:r>
      <w:r>
        <w:rPr>
          <w:b/>
          <w:bCs/>
        </w:rPr>
        <w:t xml:space="preserve">procedural fairness</w:t>
      </w:r>
      <w:r>
        <w:t xml:space="preserve"> (Vida's ground-switch and adverse variation); and in the alternative </w:t>
      </w:r>
      <w:r>
        <w:rPr>
          <w:b/>
          <w:bCs/>
        </w:rPr>
        <w:t xml:space="preserve">proportionality</w:t>
      </w:r>
      <w:r>
        <w:t xml:space="preserve"> (her own Wright reasoning; the Vida exception against Simon's no-exception order; the FFG duration calibrated to criminal proceedings that ended, with the promised revisitation never performed).</w:t>
      </w:r>
    </w:p>
    <w:p>
      <w:pPr>
        <w:spacing w:after="170"/>
        <w:ind w:left="792" w:hanging="792"/>
      </w:pPr>
      <w:r>
        <w:rPr>
          <w:b/>
          <w:bCs/>
        </w:rPr>
        <w:t xml:space="preserve">17.	</w:t>
      </w:r>
      <w:r>
        <w:rPr>
          <w:b/>
          <w:bCs/>
        </w:rPr>
        <w:t xml:space="preserve">Relief</w:t>
      </w:r>
      <w:r>
        <w:t xml:space="preserve"> is pleaded precisely: set aside the internal review decisions and the original decisions, substitute decisions that no banning order be made against each applicant, with operative effect from the dates the original decisions took effect (s 108(4)); reasons identifying which allegations were not established; and consequential correction of the register. Prospective revocation is not accepted as a hearing outcome or a settlement term.</w:t>
      </w:r>
    </w:p>
    <w:p>
      <w:pPr>
        <w:spacing w:after="180" w:before="340"/>
      </w:pPr>
      <w:r>
        <w:rPr>
          <w:b/>
          <w:bCs/>
          <w:sz w:val="24"/>
          <w:szCs w:val="24"/>
        </w:rPr>
        <w:t xml:space="preserve">VI.  FORUM ARCHITECTURE AND SEQUENCE</w:t>
      </w:r>
    </w:p>
    <w:p>
      <w:pPr>
        <w:spacing w:after="170"/>
        <w:ind w:left="792" w:hanging="792"/>
      </w:pPr>
      <w:r>
        <w:rPr>
          <w:b/>
          <w:bCs/>
        </w:rPr>
        <w:t xml:space="preserve">18.	</w:t>
      </w:r>
      <w:r>
        <w:t xml:space="preserve">The ART is the primary forum: it is seized, it can substitute retrospectively, and the member's oral-mode record favours the clients if the hearing is properly shaped. The Federal Court s 39B suite (drafted, verified, committed) is held as disciplined leverage, not filed now: the filing trigger is either refusal of the separate question with a hearing format that forces Vida's testimony, or drift past the internal deadline. If the separate question is refused, the refusal itself is the McGowan predicate the Federal Court application currently lacks.</w:t>
      </w:r>
    </w:p>
    <w:p>
      <w:pPr>
        <w:spacing w:after="170"/>
        <w:ind w:left="792" w:hanging="792"/>
      </w:pPr>
      <w:r>
        <w:rPr>
          <w:b/>
          <w:bCs/>
        </w:rPr>
        <w:t xml:space="preserve">19.	</w:t>
      </w:r>
      <w:r>
        <w:t xml:space="preserve">The immediate sequence: (1) file the counter-minute (done, v2 — separate question, schedules, witness notice, interpreter, estimate); (2) availability email with the interpreter point; (3) the s 114 correction letter — now including paragraph 10, which a compensation case cannot leave standing, since a Tribunal document recording the ban as expired in 2025 truncates the loss period on its face; (4) the telephone directions hearing conducted to the oral-mode rules in Part III — everything raised, nothing held back, every ask framed as shortening; (5) if s 70 is determined, the SFIC follows the theory in Part V; (6) hard internal date: if the separate question is not listed by mid-October 2026, counsel confers on filing the s 39B application.</w:t>
      </w:r>
    </w:p>
    <w:p>
      <w:pPr>
        <w:spacing w:after="170"/>
        <w:ind w:left="792" w:hanging="792"/>
      </w:pPr>
      <w:r>
        <w:rPr>
          <w:b/>
          <w:bCs/>
        </w:rPr>
        <w:t xml:space="preserve">20.	</w:t>
      </w:r>
      <w:r>
        <w:t xml:space="preserve">The clock is managed, not feared: the orders expire December 2027, and the Commission's only winning move is a hearing that never happens or happens on paper. Expedition is therefore always sought and never resisted; every delaying step must come from them, on the record.</w:t>
      </w:r>
    </w:p>
    <w:p>
      <w:pPr>
        <w:spacing w:after="180" w:before="340"/>
      </w:pPr>
      <w:r>
        <w:rPr>
          <w:b/>
          <w:bCs/>
          <w:sz w:val="24"/>
          <w:szCs w:val="24"/>
        </w:rPr>
        <w:t xml:space="preserve">VII.  COMPENSATION ARCHITECTURE</w:t>
      </w:r>
    </w:p>
    <w:p>
      <w:pPr>
        <w:spacing w:after="170"/>
        <w:ind w:left="792" w:hanging="792"/>
      </w:pPr>
      <w:r>
        <w:rPr>
          <w:b/>
          <w:bCs/>
        </w:rPr>
        <w:t xml:space="preserve">21.	</w:t>
      </w:r>
      <w:r>
        <w:t xml:space="preserve">The route is: no-order substitution in the ART, then a CDDA claim (defective administration), with a Commonwealth legal-liability settlement as the pressure alternative and misfeasance held in reserve pending officer-specific evidence (Sanders v Snell requires subjective knowledge or reckless indifference — invalidity alone is insufficient). Defamation, negligence and privacy routes are weak and are not pursued as primary claims. An act-of-grace application is the terminal fallback.</w:t>
      </w:r>
    </w:p>
    <w:p>
      <w:pPr>
        <w:spacing w:after="170"/>
        <w:ind w:left="792" w:hanging="792"/>
      </w:pPr>
      <w:r>
        <w:rPr>
          <w:b/>
          <w:bCs/>
        </w:rPr>
        <w:t xml:space="preserve">22.	</w:t>
      </w:r>
      <w:r>
        <w:rPr>
          <w:b/>
          <w:bCs/>
        </w:rPr>
        <w:t xml:space="preserve">Causation discipline from day one.</w:t>
      </w:r>
      <w:r>
        <w:t xml:space="preserve"> The original orders were narrower than the varied orders; the Commission will argue the reputational and commercial loss flows from the original (arguably valid) orders and the underlying allegations, not from the unlawful broadening. The answer is the foundation case — no order should have been made against Simon at all — plus loss items separately attributable to: the broadened wording (Vitality/labour-hire work foreclosed), the register publication and its currency, the "ongoing investigation" assertion after February 2024, and any disclosure to identified third parties (the Halls "substantiated fraud" email to the landlord Yaran is the template). Four loss schedules — Simon, Vida, FFG, Hybrid — are built now, each item recording the act, publication, recipient, adverse action, claimant, quantum, evidence, causation and mitigation. Dated register screenshots and archived pages are captured monthly from now.</w:t>
      </w:r>
    </w:p>
    <w:p>
      <w:pPr>
        <w:spacing w:after="170"/>
        <w:ind w:left="792" w:hanging="792"/>
      </w:pPr>
      <w:r>
        <w:rPr>
          <w:b/>
          <w:bCs/>
        </w:rPr>
        <w:t xml:space="preserve">23.	</w:t>
      </w:r>
      <w:r>
        <w:t xml:space="preserve">Limitation: tribunal review does not stop tort clocks. A specialist limitation opinion is obtained now and a standstill agreement sought from AGS covering all applicants and entities before any settlement discussion begins [VERIFY current positions]. Security for costs (r 19.01) is a live exposure for offshore plaintiffs in any Federal Court damages claim and is budgeted before that step is taken.</w:t>
      </w:r>
    </w:p>
    <w:p>
      <w:pPr>
        <w:spacing w:after="180" w:before="340"/>
      </w:pPr>
      <w:r>
        <w:rPr>
          <w:b/>
          <w:bCs/>
          <w:sz w:val="24"/>
          <w:szCs w:val="24"/>
        </w:rPr>
        <w:t xml:space="preserve">VIII.  SETTLEMENT POSTURE</w:t>
      </w:r>
    </w:p>
    <w:p>
      <w:pPr>
        <w:spacing w:after="170"/>
        <w:ind w:left="792" w:hanging="792"/>
      </w:pPr>
      <w:r>
        <w:rPr>
          <w:b/>
          <w:bCs/>
        </w:rPr>
        <w:t xml:space="preserve">24.	</w:t>
      </w:r>
      <w:r>
        <w:t xml:space="preserve">Acceptable terms: substituted no-order decisions (or consent set-aside with agreed reasons), express retrospective operative effect, register correction and removal of current-entry status, corrective notices to identified recipients, no admission by any applicant, an agreed public corrective statement, a defined compensation process or payment, preservation of records, a costs contribution, and a narrow release confined to the matters resolved. Never given: any admission of fraud, dishonesty or breach; any permanent undertaking not to work in the NDIS sector; any release extending to the compensation claims not yet quantified. The clients do not intend to return to the sector — but an undertaking converts the Commission's unlawful order into a lawful contract, gratis, and destroys the compensation case's premise. Intentions are not traded.</w:t>
      </w:r>
    </w:p>
    <w:p>
      <w:pPr>
        <w:spacing w:after="170"/>
        <w:ind w:left="792" w:hanging="792"/>
      </w:pPr>
      <w:r>
        <w:rPr>
          <w:b/>
          <w:bCs/>
        </w:rPr>
        <w:t xml:space="preserve">25.	</w:t>
      </w:r>
      <w:r>
        <w:t xml:space="preserve">Timing: the channel opens after the separate question is listed and before it is heard — maximum leverage, minimum concession. It is opened by them if possible; a without-prejudice invitation from AGS is the success condition of the pressure architecture, not something the clients solicit early.</w:t>
      </w:r>
    </w:p>
    <w:p>
      <w:pPr>
        <w:spacing w:after="180" w:before="340"/>
      </w:pPr>
      <w:r>
        <w:rPr>
          <w:b/>
          <w:bCs/>
          <w:sz w:val="24"/>
          <w:szCs w:val="24"/>
        </w:rPr>
        <w:t xml:space="preserve">IX.  RISKS, STATED PLAINLY</w:t>
      </w:r>
    </w:p>
    <w:p>
      <w:pPr>
        <w:spacing w:after="170"/>
        <w:ind w:left="792" w:hanging="792"/>
      </w:pPr>
      <w:r>
        <w:rPr>
          <w:b/>
          <w:bCs/>
        </w:rPr>
        <w:t xml:space="preserve">26.	</w:t>
      </w:r>
      <w:r>
        <w:t xml:space="preserve">(a) Adverse factual findings at a merits hearing remain possible on the claims limb even with the objections upheld — some claims material was put to the applicants and survives Byers-type objection; the alternative proportionality case exists for that scenario. (b) The member may decline the separate question and fold validity into the hearing — acceptable if the hearing is oral and the SFIC carries the argument; the refusal feeds the Federal Court trigger. (c) A quash-and-reissue by the Commission after any certiorari-style win could restart a five-year ban; the re-issue appetite against Simon on a 2022 record with a collapsed foundation is assessed as low, against Vida higher — a further reason the substitution route in the ART (which re-exercises the power to a no-order end point) is preferred over bare invalidation. (d) The estimate fight may irritate an efficiency-minded member — mitigated by framing every ask as shortening. (e) Vida's jeopardy could sharpen at any time; nothing filed for any client may assume it away. (f) Costs exposure in the ART is minimal, but the federal fallback carries adverse-costs and security exposure and is priced before the trigger is pulled.</w:t>
      </w:r>
    </w:p>
    <w:p>
      <w:pPr>
        <w:spacing w:after="180" w:before="340"/>
      </w:pPr>
      <w:r>
        <w:rPr>
          <w:b/>
          <w:bCs/>
          <w:sz w:val="24"/>
          <w:szCs w:val="24"/>
        </w:rPr>
        <w:t xml:space="preserve">X.  IMMEDIATE ACTIONS</w:t>
      </w:r>
    </w:p>
    <w:p>
      <w:pPr>
        <w:spacing w:after="170"/>
        <w:ind w:left="792" w:hanging="792"/>
      </w:pPr>
      <w:r>
        <w:rPr>
          <w:b/>
          <w:bCs/>
        </w:rPr>
        <w:t xml:space="preserve">27.	</w:t>
      </w:r>
      <w:r>
        <w:t xml:space="preserve">By Monday 17 August: file the counter-minute; send the availability email; finalise the s 114 letter (five items including paragraph 10). By Friday 22 August: s 70 oral note completed; directions-hearing speaking note against the Part III rules; commence the four loss schedules and the register capture routine. By 29 August: limitation opinion instructed; counsel procurement decision (Francis Burt Chambers administrative-law list — the applicants' side of Sunflower — is the natural brief [VERIFY availability/conflicts, noting probable opposing counsel is a member of the same chambers]); FFG position note (maintain, do not withdraw). Standing: monthly register screenshots; no statement by any client anywhere that reputation is already destroyed or that nothing remains to lose; every public consequence documented as continuing loss.</w:t>
      </w:r>
    </w:p>
    <w:p>
      <w:pPr>
        <w:spacing w:after="300"/>
      </w:pPr>
    </w:p>
    <w:p>
      <w:pPr>
        <w:spacing w:after="170"/>
      </w:pPr>
      <w:r>
        <w:t xml:space="preserve">This memorandum is a strategic working document prepared with AI assistance for the purpose of obtaining and instructing legal representation. It is not legal advice. Items marked [VERIFY], and every factual particular, citation and quotation, must be confirmed against primary sources by the retained lawyers before reliance or external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2026-08-16T09:56:34.918Z</dcterms:created>
  <dcterms:modified xsi:type="dcterms:W3CDTF">2026-08-16T09:56:34.931Z</dcterms:modified>
</cp:coreProperties>
</file>

<file path=docProps/custom.xml><?xml version="1.0" encoding="utf-8"?>
<Properties xmlns="http://schemas.openxmlformats.org/officeDocument/2006/custom-properties" xmlns:vt="http://schemas.openxmlformats.org/officeDocument/2006/docPropsVTypes"/>
</file>