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6"/>
          <w:szCs w:val="26"/>
        </w:rPr>
        <w:t xml:space="preserve">ADMINISTRATIVE REVIEW TRIBUNAL</w:t>
      </w:r>
    </w:p>
    <w:tbl>
      <w:tblPr>
        <w:tblW w:type="dxa" w:w="9000"/>
        <w:tblBorders>
          <w:top w:val="none"/>
          <w:left w:val="none"/>
          <w:bottom w:val="none"/>
          <w:right w:val="none"/>
          <w:insideH w:val="single" w:color="auto" w:sz="4"/>
          <w:insideV w:val="single" w:color="auto" w:sz="4"/>
        </w:tblBorders>
      </w:tblPr>
      <w:tblGrid>
        <w:gridCol w:w="3200"/>
        <w:gridCol w:w="5800"/>
      </w:tblGrid>
      <w:tr>
        <w:tc>
          <w:tcPr>
            <w:tcW w:type="dxa" w:w="3200"/>
            <w:tcBorders>
              <w:top w:val="none"/>
              <w:left w:val="none"/>
              <w:bottom w:val="none"/>
              <w:right w:val="none"/>
            </w:tcBorders>
          </w:tcPr>
          <w:p>
            <w:pPr>
              <w:spacing w:after="60"/>
            </w:pPr>
            <w:r>
              <w:t xml:space="preserve">Tribunal Numbers:</w:t>
            </w:r>
          </w:p>
        </w:tc>
        <w:tc>
          <w:tcPr>
            <w:tcW w:type="dxa" w:w="5800"/>
            <w:tcBorders>
              <w:top w:val="none"/>
              <w:left w:val="none"/>
              <w:bottom w:val="none"/>
              <w:right w:val="none"/>
            </w:tcBorders>
          </w:tcPr>
          <w:p>
            <w:pPr>
              <w:spacing w:after="60"/>
            </w:pPr>
            <w:r>
              <w:rPr>
                <w:b/>
                <w:bCs/>
              </w:rPr>
              <w:t xml:space="preserve">2023/3361, 2023/3363 and 2023/4494</w:t>
            </w:r>
          </w:p>
        </w:tc>
      </w:tr>
      <w:tr>
        <w:tc>
          <w:tcPr>
            <w:tcW w:type="dxa" w:w="3200"/>
            <w:tcBorders>
              <w:top w:val="none"/>
              <w:left w:val="none"/>
              <w:bottom w:val="none"/>
              <w:right w:val="none"/>
            </w:tcBorders>
          </w:tcPr>
          <w:p>
            <w:pPr>
              <w:spacing w:after="60"/>
            </w:pPr>
            <w:r>
              <w:t xml:space="preserve">First Applicant:</w:t>
            </w:r>
          </w:p>
        </w:tc>
        <w:tc>
          <w:tcPr>
            <w:tcW w:type="dxa" w:w="5800"/>
            <w:tcBorders>
              <w:top w:val="none"/>
              <w:left w:val="none"/>
              <w:bottom w:val="none"/>
              <w:right w:val="none"/>
            </w:tcBorders>
          </w:tcPr>
          <w:p>
            <w:pPr>
              <w:spacing w:after="60"/>
            </w:pPr>
            <w:r>
              <w:rPr>
                <w:b/>
                <w:bCs/>
              </w:rPr>
              <w:t xml:space="preserve">VIDA REID</w:t>
            </w:r>
          </w:p>
        </w:tc>
      </w:tr>
      <w:tr>
        <w:tc>
          <w:tcPr>
            <w:tcW w:type="dxa" w:w="3200"/>
            <w:tcBorders>
              <w:top w:val="none"/>
              <w:left w:val="none"/>
              <w:bottom w:val="none"/>
              <w:right w:val="none"/>
            </w:tcBorders>
          </w:tcPr>
          <w:p>
            <w:pPr>
              <w:spacing w:after="60"/>
            </w:pPr>
            <w:r>
              <w:t xml:space="preserve">Second Applicant:</w:t>
            </w:r>
          </w:p>
        </w:tc>
        <w:tc>
          <w:tcPr>
            <w:tcW w:type="dxa" w:w="5800"/>
            <w:tcBorders>
              <w:top w:val="none"/>
              <w:left w:val="none"/>
              <w:bottom w:val="none"/>
              <w:right w:val="none"/>
            </w:tcBorders>
          </w:tcPr>
          <w:p>
            <w:pPr>
              <w:spacing w:after="60"/>
            </w:pPr>
            <w:r>
              <w:rPr>
                <w:b/>
                <w:bCs/>
              </w:rPr>
              <w:t xml:space="preserve">SIMON REID</w:t>
            </w:r>
          </w:p>
        </w:tc>
      </w:tr>
      <w:tr>
        <w:tc>
          <w:tcPr>
            <w:tcW w:type="dxa" w:w="3200"/>
            <w:tcBorders>
              <w:top w:val="none"/>
              <w:left w:val="none"/>
              <w:bottom w:val="none"/>
              <w:right w:val="none"/>
            </w:tcBorders>
          </w:tcPr>
          <w:p>
            <w:pPr>
              <w:spacing w:after="60"/>
            </w:pPr>
            <w:r>
              <w:t xml:space="preserve">Third Applicant:</w:t>
            </w:r>
          </w:p>
        </w:tc>
        <w:tc>
          <w:tcPr>
            <w:tcW w:type="dxa" w:w="5800"/>
            <w:tcBorders>
              <w:top w:val="none"/>
              <w:left w:val="none"/>
              <w:bottom w:val="none"/>
              <w:right w:val="none"/>
            </w:tcBorders>
          </w:tcPr>
          <w:p>
            <w:pPr>
              <w:spacing w:after="60"/>
            </w:pPr>
            <w:r>
              <w:rPr>
                <w:b/>
                <w:bCs/>
              </w:rPr>
              <w:t xml:space="preserve">FORWARD FOCUSED GROUP PTY LTD</w:t>
            </w:r>
          </w:p>
        </w:tc>
      </w:tr>
      <w:tr>
        <w:tc>
          <w:tcPr>
            <w:tcW w:type="dxa" w:w="3200"/>
            <w:tcBorders>
              <w:top w:val="none"/>
              <w:left w:val="none"/>
              <w:bottom w:val="none"/>
              <w:right w:val="none"/>
            </w:tcBorders>
          </w:tcPr>
          <w:p>
            <w:pPr>
              <w:spacing w:after="60"/>
            </w:pPr>
            <w:r>
              <w:t xml:space="preserve">Respondent:</w:t>
            </w:r>
          </w:p>
        </w:tc>
        <w:tc>
          <w:tcPr>
            <w:tcW w:type="dxa" w:w="5800"/>
            <w:tcBorders>
              <w:top w:val="none"/>
              <w:left w:val="none"/>
              <w:bottom w:val="none"/>
              <w:right w:val="none"/>
            </w:tcBorders>
          </w:tcPr>
          <w:p>
            <w:pPr>
              <w:spacing w:after="60"/>
            </w:pPr>
            <w:r>
              <w:rPr>
                <w:b/>
                <w:bCs/>
              </w:rPr>
              <w:t xml:space="preserve">COMMISSIONER OF THE NDIS QUALITY AND SAFEGUARDS COMMISSION</w:t>
            </w:r>
          </w:p>
        </w:tc>
      </w:tr>
    </w:tbl>
    <w:p>
      <w:pPr>
        <w:spacing w:after="240"/>
      </w:pPr>
    </w:p>
    <w:p>
      <w:pPr>
        <w:spacing w:after="60"/>
        <w:jc w:val="center"/>
      </w:pPr>
      <w:r>
        <w:rPr>
          <w:b/>
          <w:bCs/>
          <w:sz w:val="26"/>
          <w:szCs w:val="26"/>
        </w:rPr>
        <w:t xml:space="preserve">MINUTE OF PROPOSED DIRECTIONS</w:t>
      </w:r>
    </w:p>
    <w:p>
      <w:pPr>
        <w:spacing w:after="60"/>
        <w:jc w:val="center"/>
      </w:pPr>
      <w:r>
        <w:rPr>
          <w:b/>
          <w:bCs/>
          <w:sz w:val="26"/>
          <w:szCs w:val="26"/>
        </w:rPr>
        <w:t xml:space="preserve">AND SHORT SUPPORTING SUBMISSIONS OF THE SECOND APPLICANT</w:t>
      </w:r>
    </w:p>
    <w:p>
      <w:pPr>
        <w:spacing w:after="300"/>
        <w:jc w:val="center"/>
      </w:pPr>
      <w:r>
        <w:t xml:space="preserve">Filed in response to the direction at paragraph 41 of the Tribunal's decision of 31 July 2026</w:t>
      </w:r>
    </w:p>
    <w:p>
      <w:pPr>
        <w:spacing w:after="160" w:before="280"/>
      </w:pPr>
      <w:r>
        <w:rPr>
          <w:b/>
          <w:bCs/>
        </w:rPr>
        <w:t xml:space="preserve">A.  Introduction</w:t>
      </w:r>
    </w:p>
    <w:p>
      <w:pPr>
        <w:spacing w:after="160"/>
        <w:ind w:left="863" w:hanging="863"/>
      </w:pPr>
      <w:r>
        <w:rPr>
          <w:b/>
          <w:bCs/>
        </w:rPr>
        <w:t xml:space="preserve">1.	</w:t>
      </w:r>
      <w:r>
        <w:t xml:space="preserve">These submissions and the accompanying proposed directions are filed by the Second Applicant, Mr Simon Reid, in response to the Tribunal's direction at paragraph 41 of its decision of 31 July 2026 that the Respondent file a proposed timetable for directions, and to the Tribunal's observation in the same paragraph that there has been an efflux of time since the parties' submissions were made.</w:t>
      </w:r>
    </w:p>
    <w:p>
      <w:pPr>
        <w:spacing w:after="160"/>
        <w:ind w:left="863" w:hanging="863"/>
      </w:pPr>
      <w:r>
        <w:rPr>
          <w:b/>
          <w:bCs/>
        </w:rPr>
        <w:t xml:space="preserve">2.	</w:t>
      </w:r>
      <w:r>
        <w:t xml:space="preserve">The Second Applicant does not seek to reopen the severance question. He accepts the Tribunal's decision of 31 July 2026 and these submissions proceed on the footing that the three applications remain joined. </w:t>
      </w:r>
      <w:r>
        <w:rPr>
          <w:b/>
          <w:bCs/>
        </w:rPr>
        <w:t xml:space="preserve">Every direction proposed below is directed to shortening the final hearing, narrowing the issues in dispute, and reducing the number of occasions on which any participant is required to give evidence.</w:t>
      </w:r>
      <w:r>
        <w:t xml:space="preserve"/>
      </w:r>
    </w:p>
    <w:p>
      <w:pPr>
        <w:spacing w:after="160"/>
        <w:ind w:left="863" w:hanging="863"/>
      </w:pPr>
      <w:r>
        <w:rPr>
          <w:b/>
          <w:bCs/>
        </w:rPr>
        <w:t xml:space="preserve">3.	</w:t>
      </w:r>
      <w:r>
        <w:t xml:space="preserve">The Second Applicant's position is that two questions can be determined in advance of the final hearing, on the documents and without oral evidence, and that determining them will materially reduce the length and scope of that hearing. They are identified in directions 4 and 5 below.</w:t>
      </w:r>
    </w:p>
    <w:p>
      <w:pPr>
        <w:spacing w:after="160" w:before="280"/>
      </w:pPr>
      <w:r>
        <w:rPr>
          <w:b/>
          <w:bCs/>
        </w:rPr>
        <w:t xml:space="preserve">B.  Proposed directions</w:t>
      </w:r>
    </w:p>
    <w:p>
      <w:pPr>
        <w:spacing w:after="160"/>
        <w:ind w:left="863" w:hanging="863"/>
      </w:pPr>
      <w:r>
        <w:rPr>
          <w:b/>
          <w:bCs/>
        </w:rPr>
        <w:t xml:space="preserve">1.	</w:t>
      </w:r>
      <w:r>
        <w:t xml:space="preserve">Within 14 days, the Respondent produce to the Second Applicant certified or sealed copies of the banning order made against him on 21 December 2022 and of that order as varied on 21 April 2023, together with any instrument recording the operative period of each order.</w:t>
      </w:r>
    </w:p>
    <w:p>
      <w:pPr>
        <w:spacing w:after="160"/>
        <w:ind w:left="863" w:hanging="863"/>
      </w:pPr>
      <w:r>
        <w:rPr>
          <w:b/>
          <w:bCs/>
        </w:rPr>
        <w:t xml:space="preserve">2.	</w:t>
      </w:r>
      <w:r>
        <w:t xml:space="preserve">Within 28 days, the Respondent file and serve a schedule which, for each claim identified in its submissions as a claim for supports or services said not to have been provided, states </w:t>
      </w:r>
      <w:r>
        <w:rPr>
          <w:b/>
          <w:bCs/>
        </w:rPr>
        <w:t xml:space="preserve">(a)</w:t>
      </w:r>
      <w:r>
        <w:t xml:space="preserve"> which entity is said to have made that claim, being Forward Focused Group Pty Ltd or Hybrid Hive Pty Ltd; </w:t>
      </w:r>
      <w:r>
        <w:rPr>
          <w:b/>
          <w:bCs/>
        </w:rPr>
        <w:t xml:space="preserve">(b)</w:t>
      </w:r>
      <w:r>
        <w:t xml:space="preserve"> the date or period of the claim; and </w:t>
      </w:r>
      <w:r>
        <w:rPr>
          <w:b/>
          <w:bCs/>
        </w:rPr>
        <w:t xml:space="preserve">(c)</w:t>
      </w:r>
      <w:r>
        <w:t xml:space="preserve"> the conduct of the Second Applicant personally on which the Respondent relies in relation to that claim.</w:t>
      </w:r>
    </w:p>
    <w:p>
      <w:pPr>
        <w:spacing w:after="160"/>
        <w:ind w:left="863" w:hanging="863"/>
      </w:pPr>
      <w:r>
        <w:rPr>
          <w:b/>
          <w:bCs/>
        </w:rPr>
        <w:t xml:space="preserve">3.	</w:t>
      </w:r>
      <w:r>
        <w:t xml:space="preserve">The Respondent's application dated 7 May 2026 under section 70 of the Administrative Review Tribunal Act 2024 (Cth) be determined before the Applicants are required to file amended Statements of Facts, Issues and Contentions.</w:t>
      </w:r>
    </w:p>
    <w:p>
      <w:pPr>
        <w:spacing w:after="160"/>
        <w:ind w:left="863" w:hanging="863"/>
      </w:pPr>
      <w:r>
        <w:rPr>
          <w:b/>
          <w:bCs/>
        </w:rPr>
        <w:t xml:space="preserve">4.	</w:t>
      </w:r>
      <w:r>
        <w:t xml:space="preserve">Pursuant to section 79 of the </w:t>
      </w:r>
      <w:r>
        <w:t xml:space="default">Administrative Review Tribunal Act 2024</w:t>
      </w:r>
      <w:r>
        <w:t xml:space="preserve"> (Cth), the following question be determined separately from, and in advance of, the balance of the proceeding:</w:t>
      </w:r>
    </w:p>
    <w:p>
      <w:pPr>
        <w:spacing w:after="160"/>
        <w:ind w:left="1727"/>
      </w:pPr>
      <w:r>
        <w:t xml:space="preserve">Whether the terms of the banning order made against the Second Applicant on 21 December 2022, as varied on 21 April 2023, are sufficiently certain to found a finding that the order has been contravened; and if not, what consequence follows for the issue identified at paragraph 38(c) of the Tribunal's decision of 31 July 2026.</w:t>
      </w:r>
    </w:p>
    <w:p>
      <w:pPr>
        <w:spacing w:after="160"/>
        <w:ind w:left="863" w:hanging="863"/>
      </w:pPr>
      <w:r>
        <w:rPr>
          <w:b/>
          <w:bCs/>
        </w:rPr>
        <w:t xml:space="preserve">5.	</w:t>
      </w:r>
      <w:r>
        <w:t xml:space="preserve">The question in direction 4 be determined on the documents, without oral evidence, at a hearing at which the parties may make oral submissions.</w:t>
      </w:r>
    </w:p>
    <w:p>
      <w:pPr>
        <w:spacing w:after="160"/>
        <w:ind w:left="863" w:hanging="863"/>
      </w:pPr>
      <w:r>
        <w:rPr>
          <w:b/>
          <w:bCs/>
        </w:rPr>
        <w:t xml:space="preserve">6.	</w:t>
      </w:r>
      <w:r>
        <w:t xml:space="preserve">In the alternative to directions 4 and 5, the Tribunal consider whether to refer the question in direction 4 to the Federal Court of Australia under section 185 of the </w:t>
      </w:r>
      <w:r>
        <w:t xml:space="default">Administrative Review Tribunal Act 2024</w:t>
      </w:r>
      <w:r>
        <w:t xml:space="preserve"> (Cth).</w:t>
      </w:r>
    </w:p>
    <w:p>
      <w:pPr>
        <w:spacing w:after="160"/>
        <w:ind w:left="863" w:hanging="863"/>
      </w:pPr>
      <w:r>
        <w:rPr>
          <w:b/>
          <w:bCs/>
        </w:rPr>
        <w:t xml:space="preserve">7.	</w:t>
      </w:r>
      <w:r>
        <w:t xml:space="preserve">Within 28 days after the determination of directions 3 and 4, the Respondent file and serve a revised tender bundle.</w:t>
      </w:r>
    </w:p>
    <w:p>
      <w:pPr>
        <w:spacing w:after="160"/>
        <w:ind w:left="863" w:hanging="863"/>
      </w:pPr>
      <w:r>
        <w:rPr>
          <w:b/>
          <w:bCs/>
        </w:rPr>
        <w:t xml:space="preserve">8.	</w:t>
      </w:r>
      <w:r>
        <w:t xml:space="preserve">Within 28 days after service of the revised tender bundle, each Applicant file and serve an amended Statement of Facts, Issues and Contentions.</w:t>
      </w:r>
    </w:p>
    <w:p>
      <w:pPr>
        <w:spacing w:after="160"/>
        <w:ind w:left="863" w:hanging="863"/>
      </w:pPr>
      <w:r>
        <w:rPr>
          <w:b/>
          <w:bCs/>
        </w:rPr>
        <w:t xml:space="preserve">9.	</w:t>
      </w:r>
      <w:r>
        <w:t xml:space="preserve">Any question of the appointment of an interpreter under section 68 of the </w:t>
      </w:r>
      <w:r>
        <w:t xml:space="default">Administrative Review Tribunal Act 2024</w:t>
      </w:r>
      <w:r>
        <w:t xml:space="preserve"> (Cth) be determined, and the estimated duration of the final hearing reassessed accordingly, before the proceeding is listed for final hearing.</w:t>
      </w:r>
    </w:p>
    <w:p>
      <w:pPr>
        <w:spacing w:after="160"/>
        <w:ind w:left="863" w:hanging="863"/>
      </w:pPr>
      <w:r>
        <w:rPr>
          <w:b/>
          <w:bCs/>
        </w:rPr>
        <w:t xml:space="preserve">10.	</w:t>
      </w:r>
      <w:r>
        <w:t xml:space="preserve">Liberty to apply.</w:t>
      </w:r>
    </w:p>
    <w:p>
      <w:pPr>
        <w:spacing w:after="160" w:before="280"/>
      </w:pPr>
      <w:r>
        <w:rPr>
          <w:b/>
          <w:bCs/>
        </w:rPr>
        <w:t xml:space="preserve">C.  Why direction 4 shortens rather than lengthens the proceeding</w:t>
      </w:r>
    </w:p>
    <w:p>
      <w:pPr>
        <w:spacing w:after="160"/>
        <w:ind w:left="863" w:hanging="863"/>
      </w:pPr>
      <w:r>
        <w:rPr>
          <w:b/>
          <w:bCs/>
        </w:rPr>
        <w:t xml:space="preserve">4.	</w:t>
      </w:r>
      <w:r>
        <w:t xml:space="preserve">At paragraph 38 of its decision the Tribunal identified three matters requiring findings: whether NDIS funding was claimed for services not provided; whether either individual applicant intimidated or harassed any participant; and </w:t>
      </w:r>
      <w:r>
        <w:rPr>
          <w:b/>
          <w:bCs/>
        </w:rPr>
        <w:t xml:space="preserve">whether either individual applicant contravened his or her banning order</w:t>
      </w:r>
      <w:r>
        <w:t xml:space="preserve">. The third of those matters is capable of determination on the documents alone.</w:t>
      </w:r>
    </w:p>
    <w:p>
      <w:pPr>
        <w:spacing w:after="160"/>
        <w:ind w:left="863" w:hanging="863"/>
      </w:pPr>
      <w:r>
        <w:rPr>
          <w:b/>
          <w:bCs/>
        </w:rPr>
        <w:t xml:space="preserve">5.	</w:t>
      </w:r>
      <w:r>
        <w:t xml:space="preserve">The banning order made against the Second Applicant, as varied, prohibits him from "having any involvement with or in the NDIS sector, in any capacity". It particularises that prohibition as including "providing disability supports and services, directly or indirectly, to NDIS-funded participants" and "providing support, funding, guidance or assistance of any form to an NDIS provider". Contravention attracts a civil penalty of 1,000 penalty units.</w:t>
      </w:r>
    </w:p>
    <w:p>
      <w:pPr>
        <w:spacing w:after="160"/>
        <w:ind w:left="863" w:hanging="863"/>
      </w:pPr>
      <w:r>
        <w:rPr>
          <w:b/>
          <w:bCs/>
        </w:rPr>
        <w:t xml:space="preserve">6.	</w:t>
      </w:r>
      <w:r>
        <w:t xml:space="preserve">In </w:t>
      </w:r>
      <w:r>
        <w:t xml:space="default">Sunflower Care Services Pty Ltd v Commissioner of the NDIS Quality and Safeguards Commission (No 2)</w:t>
      </w:r>
      <w:r>
        <w:t xml:space="preserve"> [2025] FCA 1442 at [127]–[141], Feutrill J held that a banning order in materially similar terms — prohibiting a person from being "directly or indirectly" involved in the provision of supports or services — was both beyond the power conferred by section 73ZN(2) and, being analogous to an injunction carrying a substantial civil penalty, was not reasonably capable of being obeyed.</w:t>
      </w:r>
    </w:p>
    <w:p>
      <w:pPr>
        <w:spacing w:after="160"/>
        <w:ind w:left="863" w:hanging="863"/>
      </w:pPr>
      <w:r>
        <w:rPr>
          <w:b/>
          <w:bCs/>
        </w:rPr>
        <w:t xml:space="preserve">7.	</w:t>
      </w:r>
      <w:r>
        <w:rPr>
          <w:b/>
          <w:bCs/>
        </w:rPr>
        <w:t xml:space="preserve">An order which is not reasonably capable of being obeyed is not capable of being contravened.</w:t>
      </w:r>
      <w:r>
        <w:t xml:space="preserve"> The Second Applicant does not ask the Tribunal, on the separate question, to determine whether the order exceeded the power conferred by section 73ZN(2). It is sufficient for present purposes that the Tribunal determine whether the order's terms are certain enough to sustain a finding of contravention. That is a narrower question and it requires no evidence.</w:t>
      </w:r>
    </w:p>
    <w:p>
      <w:pPr>
        <w:spacing w:after="160"/>
        <w:ind w:left="863" w:hanging="863"/>
      </w:pPr>
      <w:r>
        <w:rPr>
          <w:b/>
          <w:bCs/>
        </w:rPr>
        <w:t xml:space="preserve">8.	</w:t>
      </w:r>
      <w:r>
        <w:t xml:space="preserve">If the question is answered in the Second Applicant's favour, an entire limb of the final hearing falls away. No participant gives evidence on it. No finding as to the credit of any witness is required. If it is answered against him, nothing is lost: the issue is then determined once, early, and on a proper basis.</w:t>
      </w:r>
    </w:p>
    <w:p>
      <w:pPr>
        <w:spacing w:after="160" w:before="280"/>
      </w:pPr>
      <w:r>
        <w:rPr>
          <w:b/>
          <w:bCs/>
        </w:rPr>
        <w:t xml:space="preserve">D.  Why the schedule sought by direction 2 is necessary</w:t>
      </w:r>
    </w:p>
    <w:p>
      <w:pPr>
        <w:spacing w:after="160"/>
        <w:ind w:left="863" w:hanging="863"/>
      </w:pPr>
      <w:r>
        <w:rPr>
          <w:b/>
          <w:bCs/>
        </w:rPr>
        <w:t xml:space="preserve">9.	</w:t>
      </w:r>
      <w:r>
        <w:t xml:space="preserve">At paragraph 4 of its decision the Tribunal recorded that the Second Applicant was a director of Forward Focused Group Pty Ltd between 28 August 2020 and 3 January 2021, and again from 1 November 2022. At paragraph 34(a) the Tribunal observed that the two individual applicants held office "albeit not at the same time".</w:t>
      </w:r>
    </w:p>
    <w:p>
      <w:pPr>
        <w:spacing w:after="160"/>
        <w:ind w:left="863" w:hanging="863"/>
      </w:pPr>
      <w:r>
        <w:rPr>
          <w:b/>
          <w:bCs/>
        </w:rPr>
        <w:t xml:space="preserve">10.	</w:t>
      </w:r>
      <w:r>
        <w:t xml:space="preserve">Each of the claim periods listed at paragraph 35 of the decision falls </w:t>
      </w:r>
      <w:r>
        <w:rPr>
          <w:b/>
          <w:bCs/>
        </w:rPr>
        <w:t xml:space="preserve">between 3 January 2021 and 1 November 2022</w:t>
      </w:r>
      <w:r>
        <w:t xml:space="preserve"> — that is, within the period during which the Second Applicant held no office in Forward Focused Group Pty Ltd. The earliest is February 2021 and the latest concludes in August 2022.</w:t>
      </w:r>
    </w:p>
    <w:p>
      <w:pPr>
        <w:spacing w:after="160"/>
        <w:ind w:left="863" w:hanging="863"/>
      </w:pPr>
      <w:r>
        <w:rPr>
          <w:b/>
          <w:bCs/>
        </w:rPr>
        <w:t xml:space="preserve">11.	</w:t>
      </w:r>
      <w:r>
        <w:t xml:space="preserve">The decision records at paragraph 35 that claims were made by Forward Focused Group Pty Ltd "and" Hybrid Hive Pty Ltd, but does not allocate any individual claim to either entity. The Respondent has not done so at any stage of this proceeding.</w:t>
      </w:r>
    </w:p>
    <w:p>
      <w:pPr>
        <w:spacing w:after="160"/>
        <w:ind w:left="863" w:hanging="863"/>
      </w:pPr>
      <w:r>
        <w:rPr>
          <w:b/>
          <w:bCs/>
        </w:rPr>
        <w:t xml:space="preserve">12.	</w:t>
      </w:r>
      <w:r>
        <w:t xml:space="preserve">Whether the Second Applicant held office in the entity said to have made a given claim, at the time it was made, is not a peripheral matter. Section 73ZN(2) requires the Commissioner to be </w:t>
      </w:r>
      <w:r>
        <w:t xml:space="default">satisfied</w:t>
      </w:r>
      <w:r>
        <w:t xml:space="preserve"> that the particular person is not suitable to be involved in the provision of supports. That satisfaction must be formed by reference to material about that person. Without the allocation sought by direction 2, neither the Second Applicant nor the Tribunal can identify what material is said to bear on him personally.</w:t>
      </w:r>
    </w:p>
    <w:p>
      <w:pPr>
        <w:spacing w:after="160" w:before="280"/>
      </w:pPr>
      <w:r>
        <w:rPr>
          <w:b/>
          <w:bCs/>
        </w:rPr>
        <w:t xml:space="preserve">E.  The relief available if the Respondent's allegations are made out</w:t>
      </w:r>
    </w:p>
    <w:p>
      <w:pPr>
        <w:spacing w:after="160"/>
        <w:ind w:left="863" w:hanging="863"/>
      </w:pPr>
      <w:r>
        <w:rPr>
          <w:b/>
          <w:bCs/>
        </w:rPr>
        <w:t xml:space="preserve">13.	</w:t>
      </w:r>
      <w:r>
        <w:t xml:space="preserve">Section 73ZN(2) provides that the Commissioner </w:t>
      </w:r>
      <w:r>
        <w:t xml:space="default">may</w:t>
      </w:r>
      <w:r>
        <w:t xml:space="preserve"> make a banning order. The power is discretionary as to whether an order is made and as to its scope and duration. As this Tribunal observed in </w:t>
      </w:r>
      <w:r>
        <w:t xml:space="default">Wright and Civil Aviation Safety Authority (Practice and procedure)</w:t>
      </w:r>
      <w:r>
        <w:t xml:space="preserve"> [2025] ARTA 576, where a regulator's power is expressed as a power to vary, suspend or cancel, "even if the facts and circumstances are made out … in a final hearing, cancellation is not the only outcome".</w:t>
      </w:r>
    </w:p>
    <w:p>
      <w:pPr>
        <w:spacing w:after="160"/>
        <w:ind w:left="863" w:hanging="863"/>
      </w:pPr>
      <w:r>
        <w:rPr>
          <w:b/>
          <w:bCs/>
        </w:rPr>
        <w:t xml:space="preserve">14.	</w:t>
      </w:r>
      <w:r>
        <w:t xml:space="preserve">The Second Applicant will submit in the alternative that, if any allegation is made out, the appropriate outcome is variation of the order's scope and duration rather than affirmation. Two matters are presently relevant to that alternative case:</w:t>
      </w:r>
    </w:p>
    <w:p>
      <w:pPr>
        <w:spacing w:after="160"/>
        <w:ind w:left="1440" w:hanging="863"/>
      </w:pPr>
      <w:r>
        <w:rPr>
          <w:b/>
          <w:bCs/>
        </w:rPr>
        <w:t xml:space="preserve">(a)	</w:t>
      </w:r>
      <w:r>
        <w:t xml:space="preserve">The order made against the First Applicant on the same day, on the same material, by the same delegate, preserves an exception permitting her to seek disability supports or services for herself and a nominated family member. </w:t>
      </w:r>
      <w:r>
        <w:rPr>
          <w:b/>
          <w:bCs/>
        </w:rPr>
        <w:t xml:space="preserve">The order made against the Second Applicant contains no exception of any kind.</w:t>
      </w:r>
      <w:r>
        <w:t xml:space="preserve"> He is prohibited from seeking disability supports for himself.</w:t>
      </w:r>
    </w:p>
    <w:p>
      <w:pPr>
        <w:spacing w:after="160"/>
        <w:ind w:left="1440" w:hanging="863"/>
      </w:pPr>
      <w:r>
        <w:rPr>
          <w:b/>
          <w:bCs/>
        </w:rPr>
        <w:t xml:space="preserve">(b)	</w:t>
      </w:r>
      <w:r>
        <w:t xml:space="preserve">On internal review the Third Applicant's banning order was reduced from ten years to three, the delegate recording that three years "corresponds with the amount of time it is reasonably expected to take for criminal proceedings relating to FFG to be finally determined", and that "upon determination of those proceedings, the banning order against FFG can be revisited". </w:t>
      </w:r>
      <w:r>
        <w:rPr>
          <w:b/>
          <w:bCs/>
        </w:rPr>
        <w:t xml:space="preserve">The criminal proceedings were discontinued in February 2024.</w:t>
      </w:r>
      <w:r>
        <w:t xml:space="preserve"> The order nonetheless ran to expiry on 20 December 2025 without being revisited. No comparable calibration appears on the face of the order made against the Second Applicant.</w:t>
      </w:r>
    </w:p>
    <w:p>
      <w:pPr>
        <w:spacing w:after="160" w:before="280"/>
      </w:pPr>
      <w:r>
        <w:rPr>
          <w:b/>
          <w:bCs/>
        </w:rPr>
        <w:t xml:space="preserve">F.  Matters of record</w:t>
      </w:r>
    </w:p>
    <w:p>
      <w:pPr>
        <w:spacing w:after="160"/>
        <w:ind w:left="863" w:hanging="863"/>
      </w:pPr>
      <w:r>
        <w:rPr>
          <w:b/>
          <w:bCs/>
        </w:rPr>
        <w:t xml:space="preserve">15.	</w:t>
      </w:r>
      <w:r>
        <w:t xml:space="preserve">The Second Applicant has written separately to the Tribunal in relation to three apparent errors in the text of the decision of 31 July 2026. One of them bears on the directions sought here and is noted for completeness: paragraph 10 records the operative period of the Second Applicant's ban as running from 22 December 2022 until 22 December 2025. The notice of internal review decision dated 21 April 2023 (Commission reference IR (7) 22/23 and ICM23/100) records that the original order was made for a period of five years and that the variation "takes effect from 12.00am on 22 April 2023 until 12.00am on 22 December 2027 (AWST)". The Second Applicant's banning order remains in force.</w:t>
      </w:r>
    </w:p>
    <w:p>
      <w:pPr>
        <w:spacing w:after="400"/>
      </w:pPr>
    </w:p>
    <w:p>
      <w:pPr>
        <w:spacing w:after="160"/>
      </w:pPr>
      <w:r>
        <w:t xml:space="preserve">Dated:  ______________________ 2026</w:t>
      </w:r>
    </w:p>
    <w:p>
      <w:pPr>
        <w:spacing w:after="400"/>
      </w:pPr>
    </w:p>
    <w:p>
      <w:pPr>
        <w:spacing w:after="160"/>
      </w:pPr>
      <w:r>
        <w:t xml:space="preserve">________________________________</w:t>
      </w:r>
    </w:p>
    <w:p>
      <w:pPr>
        <w:spacing w:after="160"/>
      </w:pPr>
      <w:r>
        <w:rPr>
          <w:b/>
          <w:bCs/>
        </w:rPr>
        <w:t xml:space="preserve">Simon Reid</w:t>
      </w:r>
    </w:p>
    <w:p>
      <w:pPr>
        <w:spacing w:after="160"/>
      </w:pPr>
      <w:r>
        <w:t xml:space="preserve">Second Applicant, in person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2026-07-31T10:47:33.750Z</dcterms:created>
  <dcterms:modified xsi:type="dcterms:W3CDTF">2026-07-31T10:47:33.750Z</dcterms:modified>
</cp:coreProperties>
</file>

<file path=docProps/custom.xml><?xml version="1.0" encoding="utf-8"?>
<Properties xmlns="http://schemas.openxmlformats.org/officeDocument/2006/custom-properties" xmlns:vt="http://schemas.openxmlformats.org/officeDocument/2006/docPropsVTypes"/>
</file>